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6533B" w14:textId="77777777" w:rsidR="0010242A" w:rsidRDefault="0010242A" w:rsidP="0010242A">
      <w:pPr>
        <w:jc w:val="center"/>
        <w:rPr>
          <w:b/>
          <w:sz w:val="60"/>
          <w:szCs w:val="60"/>
          <w:u w:val="single"/>
        </w:rPr>
      </w:pPr>
      <w:r>
        <w:rPr>
          <w:b/>
          <w:sz w:val="60"/>
          <w:szCs w:val="60"/>
          <w:u w:val="single"/>
        </w:rPr>
        <w:t>The Real Price of Medication</w:t>
      </w:r>
    </w:p>
    <w:p w14:paraId="7C73C251" w14:textId="77777777" w:rsidR="0010242A" w:rsidRDefault="0010242A" w:rsidP="0010242A">
      <w:pPr>
        <w:jc w:val="center"/>
        <w:rPr>
          <w:b/>
          <w:sz w:val="48"/>
          <w:szCs w:val="48"/>
        </w:rPr>
      </w:pPr>
      <w:r>
        <w:rPr>
          <w:b/>
          <w:sz w:val="48"/>
          <w:szCs w:val="48"/>
        </w:rPr>
        <w:t>A survey of variations in prescription drug prices</w:t>
      </w:r>
    </w:p>
    <w:p w14:paraId="7FF28CFE" w14:textId="77777777" w:rsidR="0010242A" w:rsidRDefault="0010242A" w:rsidP="0010242A">
      <w:pPr>
        <w:jc w:val="center"/>
        <w:rPr>
          <w:b/>
          <w:u w:val="single"/>
        </w:rPr>
      </w:pPr>
    </w:p>
    <w:p w14:paraId="1717D7F3" w14:textId="77777777" w:rsidR="0010242A" w:rsidRDefault="0010242A" w:rsidP="0010242A">
      <w:pPr>
        <w:jc w:val="center"/>
        <w:rPr>
          <w:b/>
          <w:u w:val="single"/>
        </w:rPr>
      </w:pPr>
    </w:p>
    <w:p w14:paraId="08C43982" w14:textId="77777777" w:rsidR="0010242A" w:rsidRDefault="0010242A" w:rsidP="0010242A">
      <w:pPr>
        <w:jc w:val="center"/>
      </w:pPr>
      <w:r>
        <w:t>Written by Reuben Mathew, Lance Kilpatrick &amp; Adam Garber</w:t>
      </w:r>
    </w:p>
    <w:p w14:paraId="6ADED47D" w14:textId="77777777" w:rsidR="0010242A" w:rsidRDefault="0010242A" w:rsidP="0010242A">
      <w:pPr>
        <w:jc w:val="center"/>
      </w:pPr>
      <w:r>
        <w:t>U.S. PIRG Education Fund</w:t>
      </w:r>
    </w:p>
    <w:p w14:paraId="018ABC52" w14:textId="77777777" w:rsidR="0010242A" w:rsidRDefault="0010242A" w:rsidP="0010242A">
      <w:pPr>
        <w:jc w:val="center"/>
        <w:rPr>
          <w:b/>
          <w:u w:val="single"/>
        </w:rPr>
      </w:pPr>
    </w:p>
    <w:p w14:paraId="42674179" w14:textId="15559EB5" w:rsidR="0010242A" w:rsidRDefault="00A321FB" w:rsidP="0010242A">
      <w:pPr>
        <w:jc w:val="center"/>
      </w:pPr>
      <w:r>
        <w:t>March</w:t>
      </w:r>
      <w:r w:rsidR="0010242A">
        <w:t xml:space="preserve"> 2019</w:t>
      </w:r>
    </w:p>
    <w:p w14:paraId="0E4794D4" w14:textId="77777777" w:rsidR="0010242A" w:rsidRDefault="0010242A" w:rsidP="0010242A">
      <w:pPr>
        <w:jc w:val="center"/>
        <w:rPr>
          <w:b/>
          <w:u w:val="single"/>
        </w:rPr>
      </w:pPr>
      <w:r>
        <w:br w:type="page"/>
      </w:r>
    </w:p>
    <w:p w14:paraId="6B254E19" w14:textId="77777777" w:rsidR="0010242A" w:rsidRDefault="0010242A" w:rsidP="0010242A">
      <w:pPr>
        <w:pStyle w:val="Heading1"/>
      </w:pPr>
      <w:bookmarkStart w:id="0" w:name="_Toc411850216"/>
      <w:r>
        <w:lastRenderedPageBreak/>
        <w:t>Executive Summary</w:t>
      </w:r>
      <w:bookmarkEnd w:id="0"/>
    </w:p>
    <w:p w14:paraId="1132010F" w14:textId="77777777" w:rsidR="0010242A" w:rsidRDefault="0010242A" w:rsidP="0010242A"/>
    <w:p w14:paraId="465F462F" w14:textId="77777777" w:rsidR="0010242A" w:rsidRDefault="0010242A" w:rsidP="0010242A">
      <w:r>
        <w:t>People living in the United States have access to some of the best medical care in the world, from life-saving drugs to cutting-edge surgical techniques. But our system is deeply flawed, with spiraling costs forcing many Americans to spend more on care and often receiving poor quality care for all the extra money spent.</w:t>
      </w:r>
      <w:r>
        <w:rPr>
          <w:vertAlign w:val="superscript"/>
        </w:rPr>
        <w:endnoteReference w:id="1"/>
      </w:r>
      <w:r>
        <w:t xml:space="preserve"> </w:t>
      </w:r>
      <w:r>
        <w:rPr>
          <w:vertAlign w:val="superscript"/>
        </w:rPr>
        <w:endnoteReference w:id="2"/>
      </w:r>
      <w:r>
        <w:t xml:space="preserve"> </w:t>
      </w:r>
    </w:p>
    <w:p w14:paraId="50145995" w14:textId="77777777" w:rsidR="0010242A" w:rsidRDefault="0010242A" w:rsidP="0010242A"/>
    <w:p w14:paraId="37BD812C" w14:textId="601620AF" w:rsidR="0010242A" w:rsidRDefault="00A321FB" w:rsidP="0010242A">
      <w:r w:rsidRPr="00A321FB">
        <w:rPr>
          <w:lang w:val="en-US"/>
        </w:rPr>
        <w:t xml:space="preserve">Retail prescription drug costs represent about 10% of the total national healthcare expenditure in America, </w:t>
      </w:r>
      <w:r w:rsidRPr="00A321FB">
        <w:rPr>
          <w:bCs/>
          <w:lang w:val="en-US"/>
        </w:rPr>
        <w:t>but represent a growing cost for many Americans</w:t>
      </w:r>
      <w:r w:rsidR="0010242A">
        <w:t>.</w:t>
      </w:r>
      <w:r w:rsidR="0010242A">
        <w:rPr>
          <w:vertAlign w:val="superscript"/>
        </w:rPr>
        <w:endnoteReference w:id="3"/>
      </w:r>
      <w:r w:rsidR="0010242A">
        <w:rPr>
          <w:vertAlign w:val="superscript"/>
        </w:rPr>
        <w:t xml:space="preserve"> </w:t>
      </w:r>
      <w:r w:rsidR="0010242A">
        <w:rPr>
          <w:vertAlign w:val="superscript"/>
        </w:rPr>
        <w:endnoteReference w:id="4"/>
      </w:r>
      <w:r w:rsidR="0010242A">
        <w:rPr>
          <w:vertAlign w:val="superscript"/>
        </w:rPr>
        <w:t xml:space="preserve"> </w:t>
      </w:r>
      <w:r w:rsidR="0010242A">
        <w:t>In fact, nearly 1 in 4 Americans on medication struggle to afford their prescription drugs—and that rises to more than 4 in 10 for individuals in worse health.</w:t>
      </w:r>
      <w:r w:rsidR="0010242A">
        <w:rPr>
          <w:vertAlign w:val="superscript"/>
        </w:rPr>
        <w:endnoteReference w:id="5"/>
      </w:r>
      <w:r w:rsidR="0010242A">
        <w:t xml:space="preserve">  Research on these high health care expenses (including prescription drug expenses) in comparison to other countries show that this difficult cost burden is driven primarily by inflated prices: not differences in the drugs used, our aging population, nor t</w:t>
      </w:r>
      <w:r>
        <w:t>he amount of drugs prescribed.”</w:t>
      </w:r>
      <w:r w:rsidR="0010242A">
        <w:rPr>
          <w:vertAlign w:val="superscript"/>
        </w:rPr>
        <w:endnoteReference w:id="6"/>
      </w:r>
      <w:r w:rsidR="0010242A">
        <w:rPr>
          <w:vertAlign w:val="superscript"/>
        </w:rPr>
        <w:t>,</w:t>
      </w:r>
      <w:r w:rsidR="0010242A">
        <w:rPr>
          <w:vertAlign w:val="superscript"/>
        </w:rPr>
        <w:endnoteReference w:id="7"/>
      </w:r>
      <w:r w:rsidR="0010242A">
        <w:t xml:space="preserve"> </w:t>
      </w:r>
    </w:p>
    <w:p w14:paraId="7C1138DE" w14:textId="77777777" w:rsidR="0010242A" w:rsidRDefault="0010242A" w:rsidP="0010242A">
      <w:r>
        <w:t xml:space="preserve"> </w:t>
      </w:r>
    </w:p>
    <w:p w14:paraId="3BBF8C38" w14:textId="6883649C" w:rsidR="0010242A" w:rsidRDefault="0010242A" w:rsidP="0010242A">
      <w:r>
        <w:t xml:space="preserve">These high prices decimate the delivered value we get from medications. The main problem is this: a patient may pay more for </w:t>
      </w:r>
      <w:r w:rsidR="00F06BF3">
        <w:t>a</w:t>
      </w:r>
      <w:r>
        <w:t xml:space="preserve"> life saving medicine, </w:t>
      </w:r>
      <w:r w:rsidR="00F06BF3">
        <w:t>but doesn’t get any healthier for the added expense</w:t>
      </w:r>
      <w:r>
        <w:t xml:space="preserve">. </w:t>
      </w:r>
    </w:p>
    <w:p w14:paraId="3E7305A7" w14:textId="77777777" w:rsidR="0010242A" w:rsidRDefault="0010242A" w:rsidP="0010242A"/>
    <w:p w14:paraId="5DACB22E" w14:textId="25B11E32" w:rsidR="0010242A" w:rsidRDefault="00F06BF3" w:rsidP="0010242A">
      <w:r>
        <w:t xml:space="preserve">High prices do not only impact consumer finances, they worsen health outcomes.  </w:t>
      </w:r>
      <w:r w:rsidR="0010242A">
        <w:t>Research shows that high prices lead patients to engage in risky behaviors, including medication rationing or altering dosages without doctor’s consent.</w:t>
      </w:r>
      <w:r w:rsidR="0010242A">
        <w:rPr>
          <w:vertAlign w:val="superscript"/>
        </w:rPr>
        <w:endnoteReference w:id="8"/>
      </w:r>
      <w:r w:rsidR="0010242A">
        <w:rPr>
          <w:vertAlign w:val="superscript"/>
        </w:rPr>
        <w:t>,</w:t>
      </w:r>
      <w:r w:rsidR="0010242A">
        <w:rPr>
          <w:vertAlign w:val="superscript"/>
        </w:rPr>
        <w:endnoteReference w:id="9"/>
      </w:r>
      <w:r w:rsidR="0010242A">
        <w:t xml:space="preserve"> Nearly 17% of older adults exhibit this non-adherence behavior, the highest among </w:t>
      </w:r>
      <w:r>
        <w:t>eleven</w:t>
      </w:r>
      <w:r w:rsidR="0010242A">
        <w:t xml:space="preserve"> comparably wealthy countries.</w:t>
      </w:r>
      <w:r w:rsidR="0010242A">
        <w:rPr>
          <w:vertAlign w:val="superscript"/>
        </w:rPr>
        <w:endnoteReference w:id="10"/>
      </w:r>
      <w:r w:rsidR="0010242A">
        <w:t xml:space="preserve"> Physician treatment plans don’t work when patients can’t follow them, and research shows that medical treatment deviations account for major proportions of treatment failures and many hospital and nursing home admissions.</w:t>
      </w:r>
      <w:r w:rsidR="0010242A">
        <w:rPr>
          <w:vertAlign w:val="superscript"/>
        </w:rPr>
        <w:endnoteReference w:id="11"/>
      </w:r>
    </w:p>
    <w:p w14:paraId="453C78BC" w14:textId="77777777" w:rsidR="0010242A" w:rsidRDefault="0010242A" w:rsidP="0010242A">
      <w:pPr>
        <w:rPr>
          <w:rFonts w:ascii="Times New Roman" w:eastAsia="Times New Roman" w:hAnsi="Times New Roman" w:cs="Times New Roman"/>
          <w:sz w:val="24"/>
          <w:szCs w:val="24"/>
        </w:rPr>
      </w:pPr>
    </w:p>
    <w:p w14:paraId="3BF09EF6" w14:textId="01D0CA69" w:rsidR="0010242A" w:rsidRDefault="00F06BF3" w:rsidP="0010242A">
      <w:r>
        <w:t>Our report found medication prices vary greatly within cities, states and regions of the United States, further undermining the quality of patients’ care</w:t>
      </w:r>
      <w:r w:rsidR="0010242A">
        <w:t xml:space="preserve">. Doctors may prescribe more expensive medication that is just as effective as other options or patients may decide to forgo treatment, when more affordable options could be available at the pharmacy around the corner. Sometimes, the best treatment may be what the patient can consistently </w:t>
      </w:r>
      <w:r>
        <w:t>afford</w:t>
      </w:r>
      <w:r w:rsidR="0010242A">
        <w:t xml:space="preserve">, but with providers and patients unsure about prescription drug prices, </w:t>
      </w:r>
      <w:r>
        <w:t xml:space="preserve">the process of finding the right medication – for the right price – becomes </w:t>
      </w:r>
      <w:r w:rsidR="0010242A">
        <w:t>even more daunting.</w:t>
      </w:r>
    </w:p>
    <w:p w14:paraId="190F14F8" w14:textId="77777777" w:rsidR="0010242A" w:rsidRDefault="0010242A" w:rsidP="0010242A">
      <w:pPr>
        <w:rPr>
          <w:rFonts w:ascii="Times New Roman" w:eastAsia="Times New Roman" w:hAnsi="Times New Roman" w:cs="Times New Roman"/>
          <w:sz w:val="24"/>
          <w:szCs w:val="24"/>
        </w:rPr>
      </w:pPr>
    </w:p>
    <w:p w14:paraId="72A41A26" w14:textId="71FB755A" w:rsidR="0010242A" w:rsidRDefault="0010242A" w:rsidP="0010242A">
      <w:r>
        <w:t>We surveyed the cash prices on 12 common drugs in a manner intended to approximate patient experiences--calling more than 250 pharmacies across 33 census-designated areas in 11 s</w:t>
      </w:r>
      <w:r w:rsidR="00F06BF3">
        <w:t>tates. We found consumers face</w:t>
      </w:r>
      <w:r>
        <w:t xml:space="preserve"> a dizzying array of pharmacy options as well as significant price differences:</w:t>
      </w:r>
    </w:p>
    <w:p w14:paraId="1C8C1C84" w14:textId="4EAD6D68" w:rsidR="0010242A" w:rsidRDefault="0010242A" w:rsidP="0010242A">
      <w:pPr>
        <w:numPr>
          <w:ilvl w:val="0"/>
          <w:numId w:val="3"/>
        </w:numPr>
        <w:pBdr>
          <w:top w:val="nil"/>
          <w:left w:val="nil"/>
          <w:bottom w:val="nil"/>
          <w:right w:val="nil"/>
          <w:between w:val="nil"/>
        </w:pBdr>
      </w:pPr>
      <w:r>
        <w:rPr>
          <w:color w:val="000000"/>
        </w:rPr>
        <w:t>We found patients could save between $102</w:t>
      </w:r>
      <w:r w:rsidR="00F06BF3">
        <w:rPr>
          <w:color w:val="000000"/>
        </w:rPr>
        <w:t xml:space="preserve"> </w:t>
      </w:r>
      <w:r>
        <w:rPr>
          <w:color w:val="000000"/>
        </w:rPr>
        <w:t>-</w:t>
      </w:r>
      <w:r w:rsidR="00F06BF3">
        <w:rPr>
          <w:color w:val="000000"/>
        </w:rPr>
        <w:t xml:space="preserve"> </w:t>
      </w:r>
      <w:r>
        <w:rPr>
          <w:color w:val="000000"/>
        </w:rPr>
        <w:t xml:space="preserve">$5,400 a year between minimum and median prices of the selected medications by shopping around. </w:t>
      </w:r>
    </w:p>
    <w:p w14:paraId="462EBF68" w14:textId="394D2D96" w:rsidR="0010242A" w:rsidRDefault="0010242A" w:rsidP="0010242A">
      <w:pPr>
        <w:numPr>
          <w:ilvl w:val="0"/>
          <w:numId w:val="1"/>
        </w:numPr>
      </w:pPr>
      <w:r>
        <w:t xml:space="preserve">Prescription drug prices </w:t>
      </w:r>
      <w:r w:rsidR="00F06BF3">
        <w:t>are disconnected from clear factors: the median price for the surveyed brand and generic dru</w:t>
      </w:r>
      <w:r w:rsidR="00462164">
        <w:t>gs varied an average of 892 per</w:t>
      </w:r>
      <w:r w:rsidR="00F06BF3">
        <w:t>cent from the che</w:t>
      </w:r>
      <w:r>
        <w:t xml:space="preserve">apest </w:t>
      </w:r>
      <w:r w:rsidR="00F06BF3">
        <w:t>available</w:t>
      </w:r>
      <w:r>
        <w:t xml:space="preserve"> price. </w:t>
      </w:r>
    </w:p>
    <w:p w14:paraId="4B289541" w14:textId="557DBB88" w:rsidR="0010242A" w:rsidRDefault="0010242A" w:rsidP="0010242A">
      <w:pPr>
        <w:numPr>
          <w:ilvl w:val="0"/>
          <w:numId w:val="1"/>
        </w:numPr>
      </w:pPr>
      <w:r>
        <w:t xml:space="preserve">Switching from brand name drugs to generic alternatives </w:t>
      </w:r>
      <w:r w:rsidR="00F06BF3">
        <w:t xml:space="preserve">can help </w:t>
      </w:r>
      <w:r>
        <w:t xml:space="preserve">save money. For example, switching from brand </w:t>
      </w:r>
      <w:r w:rsidR="00F06BF3">
        <w:t>acid reflux medication Nexium to its generic could save a paitent an estimated $756 annually.</w:t>
      </w:r>
    </w:p>
    <w:p w14:paraId="6EF2B1A2" w14:textId="7A920395" w:rsidR="0010242A" w:rsidRDefault="0010242A" w:rsidP="0010242A">
      <w:pPr>
        <w:numPr>
          <w:ilvl w:val="0"/>
          <w:numId w:val="1"/>
        </w:numPr>
      </w:pPr>
      <w:r>
        <w:t>Brand name drug</w:t>
      </w:r>
      <w:r w:rsidR="00462164">
        <w:t>s</w:t>
      </w:r>
      <w:r>
        <w:t xml:space="preserve"> did not adjust to competition from generic drugs, even years after </w:t>
      </w:r>
      <w:r w:rsidR="00462164">
        <w:t>they</w:t>
      </w:r>
      <w:r>
        <w:t xml:space="preserve"> entered the market.  For instance, patients who switch from branded </w:t>
      </w:r>
      <w:r w:rsidR="00F06BF3">
        <w:t>Lipitor</w:t>
      </w:r>
      <w:r>
        <w:t xml:space="preserve"> to its generic, could save an estimated $</w:t>
      </w:r>
      <w:r w:rsidR="00F06BF3">
        <w:t>3,927</w:t>
      </w:r>
      <w:r>
        <w:t xml:space="preserve"> annually.</w:t>
      </w:r>
    </w:p>
    <w:p w14:paraId="4EA05214" w14:textId="6EC42BBC" w:rsidR="00462164" w:rsidRDefault="00462164" w:rsidP="00462164">
      <w:pPr>
        <w:numPr>
          <w:ilvl w:val="0"/>
          <w:numId w:val="1"/>
        </w:numPr>
      </w:pPr>
      <w:r>
        <w:t xml:space="preserve">Large chain pharmacies tend to have higher prices than their small chain or independent counterparts, despite having more leverage in the marketplace. Eight of the twelve drugs in the survey had higher median prices of 8.8 percent to 840 percent at large chains compared to small or independent pharmacies. </w:t>
      </w:r>
    </w:p>
    <w:p w14:paraId="6F957794" w14:textId="77777777" w:rsidR="0010242A" w:rsidRDefault="0010242A" w:rsidP="0010242A">
      <w:pPr>
        <w:rPr>
          <w:u w:val="single"/>
        </w:rPr>
      </w:pPr>
    </w:p>
    <w:p w14:paraId="54195FFA" w14:textId="77777777" w:rsidR="0010242A" w:rsidRDefault="0010242A" w:rsidP="0010242A">
      <w:r>
        <w:t>These wide variations in prescription drug pricing are a sign of a broken market, further evidenced by price spikes in prescription drug prices.</w:t>
      </w:r>
      <w:r>
        <w:rPr>
          <w:vertAlign w:val="superscript"/>
        </w:rPr>
        <w:endnoteReference w:id="12"/>
      </w:r>
      <w:r>
        <w:t xml:space="preserve"> The consequences can be severe, as Americans are often unable to navigate prescription drug pricing, nor can they afford to say no to life-saving medicines. </w:t>
      </w:r>
    </w:p>
    <w:p w14:paraId="6C83D35B" w14:textId="77777777" w:rsidR="0010242A" w:rsidRDefault="0010242A" w:rsidP="0010242A"/>
    <w:p w14:paraId="18504C96" w14:textId="41D8ADDE" w:rsidR="0010242A" w:rsidRDefault="0010242A" w:rsidP="0010242A">
      <w:r>
        <w:t xml:space="preserve">Our drug supply system is a complex web of agreements, middlemen, and failures </w:t>
      </w:r>
      <w:r w:rsidR="00462164">
        <w:t xml:space="preserve">of competition </w:t>
      </w:r>
      <w:r>
        <w:t>that often leaves patients at the mercy of high prescription drug prices that don't deliver the health return those prices imply.</w:t>
      </w:r>
      <w:r>
        <w:rPr>
          <w:vertAlign w:val="superscript"/>
        </w:rPr>
        <w:endnoteReference w:id="13"/>
      </w:r>
      <w:r>
        <w:t xml:space="preserve"> Manufacturers set high list prices and further complicate the picture with a maze of coupons and rebates to supposedly offset those costs. A broken patent system grants exclusive control to drugs for far too long, leading to further abuse. Middlemen, known as Pharmacy Benefit Managers (PBMs), handle drug coverage for most insurers, but sometimes pocket the savings instead of passing them on to patients or the public and private insurers. Moreover, they practice “spread pricing”, adding cost but no value to health care treatments. Wholesalers pay multiple prices without disclosure to the public, while pharmacists set ludicrous retail prices to increase their negotiating leverage with PBMs. In the end, insurers foot the bill for all</w:t>
      </w:r>
      <w:r w:rsidR="00462164">
        <w:t xml:space="preserve"> these expenses, which then get</w:t>
      </w:r>
      <w:r>
        <w:t xml:space="preserve"> passed down to vulnerable patients via high premiums, or, as our report highlights, through higher direct cash prices. </w:t>
      </w:r>
    </w:p>
    <w:p w14:paraId="5B96DA27" w14:textId="77777777" w:rsidR="0010242A" w:rsidRDefault="0010242A" w:rsidP="0010242A"/>
    <w:p w14:paraId="453BE4D5" w14:textId="3092F4DE" w:rsidR="0010242A" w:rsidRDefault="0010242A" w:rsidP="0010242A">
      <w:r>
        <w:t xml:space="preserve">It is clear that if we don’t make meaningful reforms, patients will continue to see their health care lose value and </w:t>
      </w:r>
      <w:r w:rsidR="00462164">
        <w:t xml:space="preserve">become </w:t>
      </w:r>
      <w:r>
        <w:t>harder to access. Fortunately, practical policy solutions will help reduce costs and drive patients and providers to use more high value and affordable drugs that deliver care at lower prices. We can do this through:</w:t>
      </w:r>
    </w:p>
    <w:p w14:paraId="25C690FA" w14:textId="77777777" w:rsidR="0010242A" w:rsidRDefault="0010242A" w:rsidP="0010242A">
      <w:pPr>
        <w:numPr>
          <w:ilvl w:val="0"/>
          <w:numId w:val="2"/>
        </w:numPr>
      </w:pPr>
      <w:r w:rsidRPr="000B1307">
        <w:rPr>
          <w:i/>
        </w:rPr>
        <w:t>Addressing Monopolization &amp; Lack of Competition</w:t>
      </w:r>
    </w:p>
    <w:p w14:paraId="4DB4993E" w14:textId="77777777" w:rsidR="0010242A" w:rsidRPr="00462164" w:rsidRDefault="0010242A" w:rsidP="0010242A">
      <w:pPr>
        <w:numPr>
          <w:ilvl w:val="1"/>
          <w:numId w:val="2"/>
        </w:numPr>
      </w:pPr>
      <w:r w:rsidRPr="00462164">
        <w:t>End patent abuses that delay generic drugs.</w:t>
      </w:r>
    </w:p>
    <w:p w14:paraId="2467B1DF" w14:textId="77777777" w:rsidR="0010242A" w:rsidRPr="00462164" w:rsidRDefault="0010242A" w:rsidP="0010242A">
      <w:pPr>
        <w:numPr>
          <w:ilvl w:val="1"/>
          <w:numId w:val="2"/>
        </w:numPr>
      </w:pPr>
      <w:r w:rsidRPr="00462164">
        <w:t>Reform the patent system to ensure it’s driving innovation.</w:t>
      </w:r>
    </w:p>
    <w:p w14:paraId="391F8364" w14:textId="680634E8" w:rsidR="0010242A" w:rsidRPr="00462164" w:rsidRDefault="0010242A" w:rsidP="0010242A">
      <w:pPr>
        <w:numPr>
          <w:ilvl w:val="1"/>
          <w:numId w:val="2"/>
        </w:numPr>
      </w:pPr>
      <w:r w:rsidRPr="00462164">
        <w:t>Allow importation of prescription drugs with FDA approved versions sold in the U</w:t>
      </w:r>
      <w:r w:rsidR="00462164" w:rsidRPr="00462164">
        <w:t xml:space="preserve">nited </w:t>
      </w:r>
      <w:r w:rsidRPr="00462164">
        <w:t>S</w:t>
      </w:r>
      <w:r w:rsidR="00462164" w:rsidRPr="00462164">
        <w:t>tates</w:t>
      </w:r>
      <w:r w:rsidRPr="00462164">
        <w:t xml:space="preserve">. </w:t>
      </w:r>
    </w:p>
    <w:p w14:paraId="090062D5" w14:textId="512899F2" w:rsidR="0010242A" w:rsidRPr="00462164" w:rsidRDefault="0010242A" w:rsidP="0010242A">
      <w:pPr>
        <w:numPr>
          <w:ilvl w:val="1"/>
          <w:numId w:val="2"/>
        </w:numPr>
      </w:pPr>
      <w:r w:rsidRPr="00462164">
        <w:t xml:space="preserve">Study </w:t>
      </w:r>
      <w:r w:rsidR="00462164" w:rsidRPr="00462164">
        <w:t xml:space="preserve">the </w:t>
      </w:r>
      <w:r w:rsidRPr="00462164">
        <w:t>impact of vertical and horizontal mergers across the drug supply chain.</w:t>
      </w:r>
    </w:p>
    <w:p w14:paraId="6EDC2E23" w14:textId="77777777" w:rsidR="0010242A" w:rsidRPr="0010242A" w:rsidRDefault="0010242A" w:rsidP="0010242A">
      <w:pPr>
        <w:ind w:left="1440"/>
      </w:pPr>
    </w:p>
    <w:p w14:paraId="0FE2EDBA" w14:textId="77777777" w:rsidR="0010242A" w:rsidRPr="0010242A" w:rsidRDefault="0010242A" w:rsidP="0010242A">
      <w:pPr>
        <w:ind w:left="1440"/>
      </w:pPr>
    </w:p>
    <w:p w14:paraId="0FC6B989" w14:textId="77777777" w:rsidR="0010242A" w:rsidRDefault="0010242A" w:rsidP="0010242A">
      <w:pPr>
        <w:numPr>
          <w:ilvl w:val="0"/>
          <w:numId w:val="2"/>
        </w:numPr>
      </w:pPr>
      <w:r>
        <w:rPr>
          <w:i/>
        </w:rPr>
        <w:t>Comprehensive Transparency:</w:t>
      </w:r>
      <w:r>
        <w:t xml:space="preserve"> </w:t>
      </w:r>
    </w:p>
    <w:p w14:paraId="55C882C0" w14:textId="5DF89EAF" w:rsidR="0010242A" w:rsidRDefault="0010242A" w:rsidP="0010242A">
      <w:pPr>
        <w:numPr>
          <w:ilvl w:val="1"/>
          <w:numId w:val="2"/>
        </w:numPr>
      </w:pPr>
      <w:r>
        <w:t xml:space="preserve">Require public disclosure of prescription drug prices at each step of </w:t>
      </w:r>
      <w:r w:rsidR="00462164">
        <w:t xml:space="preserve">the </w:t>
      </w:r>
      <w:r>
        <w:t>drug supply chain, including input costs like research and advertising and patient assistance programs and reimbursements provided to the government, insurers, pharmacies and patients</w:t>
      </w:r>
      <w:r w:rsidR="00462164">
        <w:t>. This information could serve</w:t>
      </w:r>
      <w:r>
        <w:t xml:space="preserve"> as a foundation from which policy-makers can base further prescription price reforms and </w:t>
      </w:r>
      <w:r w:rsidR="00462164">
        <w:t xml:space="preserve">as </w:t>
      </w:r>
      <w:r>
        <w:t xml:space="preserve">a way to help patients understand their costs. </w:t>
      </w:r>
    </w:p>
    <w:p w14:paraId="084CF29E" w14:textId="77777777" w:rsidR="0010242A" w:rsidRDefault="0010242A" w:rsidP="0010242A">
      <w:pPr>
        <w:numPr>
          <w:ilvl w:val="1"/>
          <w:numId w:val="2"/>
        </w:numPr>
      </w:pPr>
      <w:r>
        <w:t xml:space="preserve">Disclose  prices for prescriptions online. </w:t>
      </w:r>
    </w:p>
    <w:p w14:paraId="0B045C56" w14:textId="25EC8A59" w:rsidR="0010242A" w:rsidRDefault="0010242A" w:rsidP="0010242A">
      <w:pPr>
        <w:numPr>
          <w:ilvl w:val="1"/>
          <w:numId w:val="2"/>
        </w:numPr>
      </w:pPr>
      <w:r>
        <w:t>Enable providers to share clinical efficacy and useable prescription drug pricing for their patient</w:t>
      </w:r>
      <w:r w:rsidR="00462164">
        <w:t>s</w:t>
      </w:r>
      <w:r>
        <w:t xml:space="preserve"> in an integrated database system. </w:t>
      </w:r>
    </w:p>
    <w:p w14:paraId="415706EA" w14:textId="77777777" w:rsidR="0010242A" w:rsidRDefault="0010242A" w:rsidP="0010242A">
      <w:pPr>
        <w:numPr>
          <w:ilvl w:val="0"/>
          <w:numId w:val="2"/>
        </w:numPr>
        <w:rPr>
          <w:i/>
        </w:rPr>
      </w:pPr>
      <w:r>
        <w:rPr>
          <w:i/>
        </w:rPr>
        <w:t>Price Gouging Protection</w:t>
      </w:r>
    </w:p>
    <w:p w14:paraId="42B11746" w14:textId="6B0BAEE2" w:rsidR="0010242A" w:rsidRDefault="00462164" w:rsidP="0010242A">
      <w:pPr>
        <w:numPr>
          <w:ilvl w:val="1"/>
          <w:numId w:val="2"/>
        </w:numPr>
      </w:pPr>
      <w:r>
        <w:t>Create</w:t>
      </w:r>
      <w:r w:rsidR="0010242A">
        <w:t xml:space="preserve"> state boards of experts to examine prescription drug pricing (based on above transparency) and evaluate what are the best steps to reform the broken market. </w:t>
      </w:r>
    </w:p>
    <w:p w14:paraId="1ED6B139" w14:textId="2477B14E" w:rsidR="0010242A" w:rsidRDefault="00462164" w:rsidP="0010242A">
      <w:pPr>
        <w:numPr>
          <w:ilvl w:val="1"/>
          <w:numId w:val="2"/>
        </w:numPr>
      </w:pPr>
      <w:r>
        <w:t>Enact</w:t>
      </w:r>
      <w:r w:rsidR="0010242A">
        <w:t xml:space="preserve"> laws that require notification of price increases above inflation</w:t>
      </w:r>
      <w:r>
        <w:t>,</w:t>
      </w:r>
      <w:r w:rsidR="0010242A">
        <w:t xml:space="preserve"> require justification for that increase, and empower the state and federal governments to reject indefensible increases.</w:t>
      </w:r>
    </w:p>
    <w:p w14:paraId="2D59948D" w14:textId="77777777" w:rsidR="0010242A" w:rsidRPr="0010242A" w:rsidRDefault="0010242A" w:rsidP="0010242A">
      <w:pPr>
        <w:numPr>
          <w:ilvl w:val="1"/>
          <w:numId w:val="2"/>
        </w:numPr>
      </w:pPr>
      <w:r>
        <w:t>Incorporate value-based pricing and comparative effectiveness into price setting on prescription drugs.</w:t>
      </w:r>
    </w:p>
    <w:p w14:paraId="60A4AB94" w14:textId="77777777" w:rsidR="0010242A" w:rsidRDefault="0010242A" w:rsidP="0010242A">
      <w:pPr>
        <w:numPr>
          <w:ilvl w:val="0"/>
          <w:numId w:val="2"/>
        </w:numPr>
      </w:pPr>
      <w:r>
        <w:rPr>
          <w:i/>
        </w:rPr>
        <w:t>Fixing Healthcare System Incentives</w:t>
      </w:r>
    </w:p>
    <w:p w14:paraId="28573C1C" w14:textId="7BBFCD2B" w:rsidR="0010242A" w:rsidRDefault="00462164" w:rsidP="0010242A">
      <w:pPr>
        <w:numPr>
          <w:ilvl w:val="1"/>
          <w:numId w:val="2"/>
        </w:numPr>
      </w:pPr>
      <w:r>
        <w:t>Set r</w:t>
      </w:r>
      <w:r w:rsidR="0010242A">
        <w:t>esponsible limits on pharmaceutical companies’ physician-targeted sales tactics</w:t>
      </w:r>
      <w:r>
        <w:t>.</w:t>
      </w:r>
      <w:bookmarkStart w:id="1" w:name="_GoBack"/>
      <w:bookmarkEnd w:id="1"/>
      <w:r w:rsidR="0010242A">
        <w:t xml:space="preserve">  </w:t>
      </w:r>
      <w:r w:rsidR="0010242A">
        <w:tab/>
      </w:r>
    </w:p>
    <w:p w14:paraId="35A9D4DD" w14:textId="77777777" w:rsidR="00BC65BF" w:rsidRDefault="00BC65BF"/>
    <w:p w14:paraId="4F580231" w14:textId="77777777" w:rsidR="0010242A" w:rsidRDefault="0010242A"/>
    <w:p w14:paraId="7E58FED1" w14:textId="77777777" w:rsidR="0010242A" w:rsidRDefault="0010242A"/>
    <w:sectPr w:rsidR="0010242A" w:rsidSect="009B04D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3D41A" w14:textId="77777777" w:rsidR="00462164" w:rsidRDefault="00462164" w:rsidP="0010242A">
      <w:pPr>
        <w:spacing w:line="240" w:lineRule="auto"/>
      </w:pPr>
      <w:r>
        <w:separator/>
      </w:r>
    </w:p>
  </w:endnote>
  <w:endnote w:type="continuationSeparator" w:id="0">
    <w:p w14:paraId="534B9A48" w14:textId="77777777" w:rsidR="00462164" w:rsidRDefault="00462164" w:rsidP="0010242A">
      <w:pPr>
        <w:spacing w:line="240" w:lineRule="auto"/>
      </w:pPr>
      <w:r>
        <w:continuationSeparator/>
      </w:r>
    </w:p>
  </w:endnote>
  <w:endnote w:id="1">
    <w:p w14:paraId="4608C2F7" w14:textId="77777777" w:rsidR="00462164" w:rsidRDefault="00462164" w:rsidP="0010242A">
      <w:pPr>
        <w:spacing w:line="240" w:lineRule="auto"/>
        <w:rPr>
          <w:sz w:val="20"/>
          <w:szCs w:val="20"/>
        </w:rPr>
      </w:pPr>
      <w:r>
        <w:rPr>
          <w:vertAlign w:val="superscript"/>
        </w:rPr>
        <w:endnoteRef/>
      </w:r>
      <w:r>
        <w:rPr>
          <w:sz w:val="20"/>
          <w:szCs w:val="20"/>
        </w:rPr>
        <w:t xml:space="preserve"> </w:t>
      </w:r>
      <w:r>
        <w:rPr>
          <w:rFonts w:ascii="Calibri" w:eastAsia="Calibri" w:hAnsi="Calibri" w:cs="Calibri"/>
          <w:sz w:val="20"/>
          <w:szCs w:val="20"/>
        </w:rPr>
        <w:t xml:space="preserve">United Health Foundation, </w:t>
      </w:r>
      <w:r>
        <w:rPr>
          <w:rFonts w:ascii="Calibri" w:eastAsia="Calibri" w:hAnsi="Calibri" w:cs="Calibri"/>
          <w:i/>
          <w:sz w:val="20"/>
          <w:szCs w:val="20"/>
        </w:rPr>
        <w:t>America’s Health Rankings: A comparison with OECD nations</w:t>
      </w:r>
      <w:r>
        <w:rPr>
          <w:rFonts w:ascii="Calibri" w:eastAsia="Calibri" w:hAnsi="Calibri" w:cs="Calibri"/>
          <w:sz w:val="20"/>
          <w:szCs w:val="20"/>
        </w:rPr>
        <w:t xml:space="preserve">, downloaded from https://www.americashealthrankings.org/learn/reports/2017-annual-report/findings-comparison-with-oecd-nations, 30 July 2018. </w:t>
      </w:r>
    </w:p>
  </w:endnote>
  <w:endnote w:id="2">
    <w:p w14:paraId="592C467C" w14:textId="77777777" w:rsidR="00462164" w:rsidRDefault="00462164" w:rsidP="0010242A">
      <w:pPr>
        <w:spacing w:line="240" w:lineRule="auto"/>
        <w:rPr>
          <w:sz w:val="20"/>
          <w:szCs w:val="20"/>
        </w:rPr>
      </w:pPr>
      <w:r>
        <w:rPr>
          <w:vertAlign w:val="superscript"/>
        </w:rPr>
        <w:endnoteRef/>
      </w:r>
      <w:r>
        <w:rPr>
          <w:sz w:val="20"/>
          <w:szCs w:val="20"/>
          <w:vertAlign w:val="superscript"/>
        </w:rPr>
        <w:t xml:space="preserve"> </w:t>
      </w:r>
      <w:r>
        <w:rPr>
          <w:sz w:val="20"/>
          <w:szCs w:val="20"/>
        </w:rPr>
        <w:t>Health at a Glance 2017: OECD Indicators. (2017). https://doi.org/10.1787/9789264266414-en</w:t>
      </w:r>
    </w:p>
  </w:endnote>
  <w:endnote w:id="3">
    <w:p w14:paraId="1298EB33" w14:textId="77777777" w:rsidR="00462164" w:rsidRDefault="00462164" w:rsidP="0010242A">
      <w:pPr>
        <w:spacing w:line="240" w:lineRule="auto"/>
        <w:rPr>
          <w:sz w:val="20"/>
          <w:szCs w:val="20"/>
        </w:rPr>
      </w:pPr>
      <w:r>
        <w:rPr>
          <w:vertAlign w:val="superscript"/>
        </w:rPr>
        <w:endnoteRef/>
      </w:r>
      <w:r>
        <w:rPr>
          <w:sz w:val="20"/>
          <w:szCs w:val="20"/>
        </w:rPr>
        <w:t xml:space="preserve"> Centers for Medicaid and Medicare Services. (2017). </w:t>
      </w:r>
      <w:r>
        <w:rPr>
          <w:i/>
          <w:sz w:val="20"/>
          <w:szCs w:val="20"/>
        </w:rPr>
        <w:t>National Health Expenditures 2017 Highlights</w:t>
      </w:r>
      <w:r>
        <w:rPr>
          <w:sz w:val="20"/>
          <w:szCs w:val="20"/>
        </w:rPr>
        <w:t>. Retrieved from https://www.cms.gov/Research-Statistics-Data-and-Systems/Statistics-Trends-and-Reports/NationalHealthExpendData/downloads/highlights.pdf</w:t>
      </w:r>
    </w:p>
    <w:p w14:paraId="0F83C970" w14:textId="77777777" w:rsidR="00462164" w:rsidRDefault="00462164" w:rsidP="0010242A">
      <w:pPr>
        <w:spacing w:line="240" w:lineRule="auto"/>
        <w:rPr>
          <w:sz w:val="20"/>
          <w:szCs w:val="20"/>
        </w:rPr>
      </w:pPr>
    </w:p>
  </w:endnote>
  <w:endnote w:id="4">
    <w:p w14:paraId="4DD39338" w14:textId="77777777" w:rsidR="00462164" w:rsidRDefault="00462164" w:rsidP="0010242A">
      <w:pPr>
        <w:spacing w:line="240" w:lineRule="auto"/>
        <w:rPr>
          <w:sz w:val="20"/>
          <w:szCs w:val="20"/>
        </w:rPr>
      </w:pPr>
      <w:r>
        <w:rPr>
          <w:vertAlign w:val="superscript"/>
        </w:rPr>
        <w:endnoteRef/>
      </w:r>
      <w:r>
        <w:rPr>
          <w:sz w:val="20"/>
          <w:szCs w:val="20"/>
        </w:rPr>
        <w:t xml:space="preserve"> </w:t>
      </w:r>
      <w:r>
        <w:rPr>
          <w:i/>
          <w:sz w:val="20"/>
          <w:szCs w:val="20"/>
        </w:rPr>
        <w:t>AMERICANS’ VIEWS OF HEALTHCARE COSTS, COVERAGE, AND POLICY</w:t>
      </w:r>
      <w:r>
        <w:rPr>
          <w:sz w:val="20"/>
          <w:szCs w:val="20"/>
        </w:rPr>
        <w:t>. (2018). Retrieved from https://www.cms.gov/</w:t>
      </w:r>
    </w:p>
    <w:p w14:paraId="48C3BAC3" w14:textId="77777777" w:rsidR="00462164" w:rsidRDefault="00462164" w:rsidP="0010242A">
      <w:pPr>
        <w:spacing w:line="240" w:lineRule="auto"/>
        <w:rPr>
          <w:sz w:val="20"/>
          <w:szCs w:val="20"/>
        </w:rPr>
      </w:pPr>
    </w:p>
  </w:endnote>
  <w:endnote w:id="5">
    <w:p w14:paraId="17E0A881" w14:textId="77777777" w:rsidR="00462164" w:rsidRDefault="00462164" w:rsidP="0010242A">
      <w:pPr>
        <w:spacing w:line="240" w:lineRule="auto"/>
        <w:rPr>
          <w:sz w:val="20"/>
          <w:szCs w:val="20"/>
        </w:rPr>
      </w:pPr>
      <w:r>
        <w:rPr>
          <w:vertAlign w:val="superscript"/>
        </w:rPr>
        <w:endnoteRef/>
      </w:r>
      <w:r>
        <w:rPr>
          <w:sz w:val="20"/>
          <w:szCs w:val="20"/>
        </w:rPr>
        <w:t xml:space="preserve"> Kaiser Health Tracking Poll: August 2015 | The Henry J. Kaiser Family Foundation. (n.d.). Retrieved September 18, 2018, from https://www.kff.org/health-costs/poll-finding/kaiser-health-tracking-poll-august-2015/</w:t>
      </w:r>
    </w:p>
    <w:p w14:paraId="20AD124A" w14:textId="77777777" w:rsidR="00462164" w:rsidRDefault="00462164" w:rsidP="0010242A">
      <w:pPr>
        <w:spacing w:line="240" w:lineRule="auto"/>
        <w:rPr>
          <w:sz w:val="20"/>
          <w:szCs w:val="20"/>
        </w:rPr>
      </w:pPr>
    </w:p>
  </w:endnote>
  <w:endnote w:id="6">
    <w:p w14:paraId="2AA367EB" w14:textId="77777777" w:rsidR="00462164" w:rsidRDefault="00462164" w:rsidP="0010242A">
      <w:pPr>
        <w:spacing w:line="240" w:lineRule="auto"/>
        <w:rPr>
          <w:sz w:val="20"/>
          <w:szCs w:val="20"/>
        </w:rPr>
      </w:pPr>
      <w:r>
        <w:rPr>
          <w:vertAlign w:val="superscript"/>
        </w:rPr>
        <w:endnoteRef/>
      </w:r>
      <w:r>
        <w:rPr>
          <w:sz w:val="20"/>
          <w:szCs w:val="20"/>
        </w:rPr>
        <w:t xml:space="preserve"> Dieleman, J. L., Squires, E., Bui, A. L., Campbell, M., Chapin, A., Hamavid, H., … Murray, C. J. L. (2017). Factors Associated With Increases in US Health Care Spending, 1996-2013. </w:t>
      </w:r>
      <w:r>
        <w:rPr>
          <w:i/>
          <w:sz w:val="20"/>
          <w:szCs w:val="20"/>
        </w:rPr>
        <w:t>JAMA</w:t>
      </w:r>
      <w:r>
        <w:rPr>
          <w:sz w:val="20"/>
          <w:szCs w:val="20"/>
        </w:rPr>
        <w:t xml:space="preserve">, </w:t>
      </w:r>
      <w:r>
        <w:rPr>
          <w:i/>
          <w:sz w:val="20"/>
          <w:szCs w:val="20"/>
        </w:rPr>
        <w:t>318</w:t>
      </w:r>
      <w:r>
        <w:rPr>
          <w:sz w:val="20"/>
          <w:szCs w:val="20"/>
        </w:rPr>
        <w:t>(17), 1668. https://doi.org/10.1001/jama.2017.15927</w:t>
      </w:r>
    </w:p>
    <w:p w14:paraId="59D65D57" w14:textId="77777777" w:rsidR="00462164" w:rsidRDefault="00462164" w:rsidP="0010242A">
      <w:pPr>
        <w:spacing w:line="240" w:lineRule="auto"/>
        <w:rPr>
          <w:sz w:val="20"/>
          <w:szCs w:val="20"/>
        </w:rPr>
      </w:pPr>
    </w:p>
  </w:endnote>
  <w:endnote w:id="7">
    <w:p w14:paraId="0FC7AA93" w14:textId="77777777" w:rsidR="00462164" w:rsidRDefault="00462164" w:rsidP="0010242A">
      <w:pPr>
        <w:spacing w:line="240" w:lineRule="auto"/>
        <w:rPr>
          <w:sz w:val="20"/>
          <w:szCs w:val="20"/>
        </w:rPr>
      </w:pPr>
      <w:r>
        <w:rPr>
          <w:vertAlign w:val="superscript"/>
        </w:rPr>
        <w:endnoteRef/>
      </w:r>
      <w:r>
        <w:rPr>
          <w:sz w:val="20"/>
          <w:szCs w:val="20"/>
        </w:rPr>
        <w:t xml:space="preserve"> Morgan, S. G., Good, C. B., Leopold, C., Kaltenboeck, A., Bach, P. B., &amp; Wagner, A. (2018). An analysis of expenditures on primary care prescription drugs in the United States versus ten comparable countries. </w:t>
      </w:r>
      <w:r>
        <w:rPr>
          <w:i/>
          <w:sz w:val="20"/>
          <w:szCs w:val="20"/>
        </w:rPr>
        <w:t>Health Policy</w:t>
      </w:r>
      <w:r>
        <w:rPr>
          <w:sz w:val="20"/>
          <w:szCs w:val="20"/>
        </w:rPr>
        <w:t xml:space="preserve">, </w:t>
      </w:r>
      <w:r>
        <w:rPr>
          <w:i/>
          <w:sz w:val="20"/>
          <w:szCs w:val="20"/>
        </w:rPr>
        <w:t>122</w:t>
      </w:r>
      <w:r>
        <w:rPr>
          <w:sz w:val="20"/>
          <w:szCs w:val="20"/>
        </w:rPr>
        <w:t>(9), 1012–1017. https://doi.org/10.1016/J.HEALTHPOL.2018.07.005</w:t>
      </w:r>
    </w:p>
    <w:p w14:paraId="79E78651" w14:textId="77777777" w:rsidR="00462164" w:rsidRDefault="00462164" w:rsidP="0010242A">
      <w:pPr>
        <w:spacing w:line="240" w:lineRule="auto"/>
        <w:rPr>
          <w:sz w:val="20"/>
          <w:szCs w:val="20"/>
        </w:rPr>
      </w:pPr>
    </w:p>
  </w:endnote>
  <w:endnote w:id="8">
    <w:p w14:paraId="4218C51E" w14:textId="77777777" w:rsidR="00462164" w:rsidRDefault="00462164" w:rsidP="0010242A">
      <w:pPr>
        <w:pBdr>
          <w:top w:val="nil"/>
          <w:left w:val="nil"/>
          <w:bottom w:val="nil"/>
          <w:right w:val="nil"/>
          <w:between w:val="nil"/>
        </w:pBdr>
        <w:spacing w:line="240" w:lineRule="auto"/>
        <w:rPr>
          <w:color w:val="000000"/>
          <w:sz w:val="20"/>
          <w:szCs w:val="20"/>
        </w:rPr>
      </w:pPr>
      <w:r>
        <w:rPr>
          <w:vertAlign w:val="superscript"/>
        </w:rPr>
        <w:endnoteRef/>
      </w:r>
      <w:r>
        <w:rPr>
          <w:color w:val="000000"/>
          <w:sz w:val="20"/>
          <w:szCs w:val="20"/>
        </w:rPr>
        <w:t xml:space="preserve"> Briesacher, B. A., Gurwitz, J. H., &amp; Soumerai, S. B. (2007). Patients At-Risk for Cost-Related Medication Nonadherence: A Review of the Literature. Journal of General Internal Medicine, 22(6), 864–871. https://doi.org/10.1007/s11606-007-0180-x</w:t>
      </w:r>
    </w:p>
  </w:endnote>
  <w:endnote w:id="9">
    <w:p w14:paraId="4B4ED4C2" w14:textId="77777777" w:rsidR="00462164" w:rsidRDefault="00462164" w:rsidP="0010242A">
      <w:pPr>
        <w:spacing w:line="240" w:lineRule="auto"/>
        <w:rPr>
          <w:sz w:val="20"/>
          <w:szCs w:val="20"/>
        </w:rPr>
      </w:pPr>
      <w:r>
        <w:rPr>
          <w:vertAlign w:val="superscript"/>
        </w:rPr>
        <w:endnoteRef/>
      </w:r>
      <w:r>
        <w:rPr>
          <w:sz w:val="20"/>
          <w:szCs w:val="20"/>
        </w:rPr>
        <w:t xml:space="preserve"> Truven Health Analytics, &amp; National Public Radio. (2017). Health Poll: Prescription Drugs. Retrieved from http://truvenhealth.com/Portals/0/Assets/TRU_18156_0617_NPR_Poll_Prescription_Drugs_FINAL.pdf</w:t>
      </w:r>
    </w:p>
  </w:endnote>
  <w:endnote w:id="10">
    <w:p w14:paraId="2A44ED8B" w14:textId="77777777" w:rsidR="00462164" w:rsidRDefault="00462164" w:rsidP="0010242A">
      <w:pPr>
        <w:spacing w:line="240" w:lineRule="auto"/>
        <w:rPr>
          <w:sz w:val="20"/>
          <w:szCs w:val="20"/>
        </w:rPr>
      </w:pPr>
      <w:r>
        <w:rPr>
          <w:vertAlign w:val="superscript"/>
        </w:rPr>
        <w:endnoteRef/>
      </w:r>
      <w:r>
        <w:rPr>
          <w:sz w:val="20"/>
          <w:szCs w:val="20"/>
        </w:rPr>
        <w:t>Morgan, S. G., &amp; Lee, A. (2017). Cost-related non-adherence to prescribed medicines among older adults: a cross-sectional analysis of a survey in 11 developed countries. BMJ Open, 7(1), e014287. https://doi.org/10.1136/bmjopen-2016-014287</w:t>
      </w:r>
    </w:p>
  </w:endnote>
  <w:endnote w:id="11">
    <w:p w14:paraId="3159C9E2" w14:textId="77777777" w:rsidR="00462164" w:rsidRDefault="00462164" w:rsidP="0010242A">
      <w:pPr>
        <w:spacing w:line="240" w:lineRule="auto"/>
        <w:rPr>
          <w:sz w:val="20"/>
          <w:szCs w:val="20"/>
        </w:rPr>
      </w:pPr>
      <w:r>
        <w:rPr>
          <w:vertAlign w:val="superscript"/>
        </w:rPr>
        <w:endnoteRef/>
      </w:r>
      <w:r>
        <w:rPr>
          <w:sz w:val="20"/>
          <w:szCs w:val="20"/>
        </w:rPr>
        <w:t xml:space="preserve"> MEDICATION ADHERENCE-IMPROVING HEALTH OUTCOMES A Resource from the American College of Preventive Medicine A Clinical Reference. (2011). Retrieved from https://c.ymcdn.com/sites/acpm.site-ym.com/resource/resmgr/timetools-files/adherenceclinicalreference.pdf</w:t>
      </w:r>
    </w:p>
    <w:p w14:paraId="5CA2BB84" w14:textId="77777777" w:rsidR="00462164" w:rsidRDefault="00462164" w:rsidP="0010242A">
      <w:pPr>
        <w:spacing w:line="240" w:lineRule="auto"/>
        <w:rPr>
          <w:sz w:val="20"/>
          <w:szCs w:val="20"/>
        </w:rPr>
      </w:pPr>
    </w:p>
  </w:endnote>
  <w:endnote w:id="12">
    <w:p w14:paraId="6A009DAD" w14:textId="77777777" w:rsidR="00462164" w:rsidRDefault="00462164" w:rsidP="0010242A">
      <w:pPr>
        <w:spacing w:line="240" w:lineRule="auto"/>
        <w:rPr>
          <w:sz w:val="20"/>
          <w:szCs w:val="20"/>
        </w:rPr>
      </w:pPr>
      <w:r>
        <w:rPr>
          <w:vertAlign w:val="superscript"/>
        </w:rPr>
        <w:endnoteRef/>
      </w:r>
      <w:r>
        <w:rPr>
          <w:sz w:val="20"/>
          <w:szCs w:val="20"/>
        </w:rPr>
        <w:t xml:space="preserve"> Sudden Price Spikes in Off-Patent Prescription Drugs: Special Committee on Aging United States Senate. (2016). Retrieved from https://www.collins.senate.gov/sites/default/files/Drug Pricing Report Unlocked.pdf</w:t>
      </w:r>
    </w:p>
  </w:endnote>
  <w:endnote w:id="13">
    <w:p w14:paraId="34ADF72D" w14:textId="77777777" w:rsidR="00462164" w:rsidRDefault="00462164" w:rsidP="0010242A">
      <w:pPr>
        <w:pBdr>
          <w:top w:val="nil"/>
          <w:left w:val="nil"/>
          <w:bottom w:val="nil"/>
          <w:right w:val="nil"/>
          <w:between w:val="nil"/>
        </w:pBdr>
        <w:spacing w:line="240" w:lineRule="auto"/>
        <w:rPr>
          <w:color w:val="000000"/>
          <w:sz w:val="20"/>
          <w:szCs w:val="20"/>
        </w:rPr>
      </w:pPr>
      <w:r>
        <w:rPr>
          <w:vertAlign w:val="superscript"/>
        </w:rPr>
        <w:endnoteRef/>
      </w:r>
      <w:r>
        <w:rPr>
          <w:color w:val="000000"/>
          <w:sz w:val="20"/>
          <w:szCs w:val="20"/>
        </w:rPr>
        <w:t xml:space="preserve"> National Academies of Sciences, E. and M. (2018). Making Medicines Affordable. (N. R. Augustine, G. Madhavan, &amp; S. J. Nass, Eds.). Washington, D.C.: National Academies Press. https://doi.org/10.17226/24946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2A05" w14:textId="77777777" w:rsidR="00462164" w:rsidRDefault="004621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ECF2" w14:textId="77777777" w:rsidR="00462164" w:rsidRDefault="004621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327D" w14:textId="77777777" w:rsidR="00462164" w:rsidRDefault="00462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4A325" w14:textId="77777777" w:rsidR="00462164" w:rsidRDefault="00462164" w:rsidP="0010242A">
      <w:pPr>
        <w:spacing w:line="240" w:lineRule="auto"/>
      </w:pPr>
      <w:r>
        <w:separator/>
      </w:r>
    </w:p>
  </w:footnote>
  <w:footnote w:type="continuationSeparator" w:id="0">
    <w:p w14:paraId="7A83E973" w14:textId="77777777" w:rsidR="00462164" w:rsidRDefault="00462164" w:rsidP="001024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F47D" w14:textId="58DF8652" w:rsidR="00462164" w:rsidRDefault="004621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D23A" w14:textId="1C6E91E4" w:rsidR="00462164" w:rsidRDefault="004621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729A" w14:textId="1230D99C" w:rsidR="00462164" w:rsidRDefault="004621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0257"/>
    <w:multiLevelType w:val="multilevel"/>
    <w:tmpl w:val="F5069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1006E5"/>
    <w:multiLevelType w:val="multilevel"/>
    <w:tmpl w:val="73D4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6F049E"/>
    <w:multiLevelType w:val="multilevel"/>
    <w:tmpl w:val="8028FA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2A"/>
    <w:rsid w:val="0010242A"/>
    <w:rsid w:val="00462164"/>
    <w:rsid w:val="0062647D"/>
    <w:rsid w:val="007564A3"/>
    <w:rsid w:val="00812069"/>
    <w:rsid w:val="009B04D7"/>
    <w:rsid w:val="00A321FB"/>
    <w:rsid w:val="00BC65BF"/>
    <w:rsid w:val="00F0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FCE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2A"/>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10242A"/>
    <w:pPr>
      <w:keepNext/>
      <w:keepLines/>
      <w:spacing w:before="400" w:after="120"/>
      <w:outlineLvl w:val="0"/>
    </w:pPr>
    <w:rPr>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2A"/>
    <w:rPr>
      <w:rFonts w:ascii="Arial" w:eastAsia="Arial" w:hAnsi="Arial" w:cs="Arial"/>
      <w:sz w:val="40"/>
      <w:szCs w:val="40"/>
      <w:lang w:val="en"/>
    </w:rPr>
  </w:style>
  <w:style w:type="paragraph" w:styleId="TOC1">
    <w:name w:val="toc 1"/>
    <w:basedOn w:val="Normal"/>
    <w:next w:val="Normal"/>
    <w:autoRedefine/>
    <w:uiPriority w:val="39"/>
    <w:unhideWhenUsed/>
    <w:rsid w:val="0010242A"/>
    <w:pPr>
      <w:spacing w:after="100"/>
    </w:pPr>
  </w:style>
  <w:style w:type="paragraph" w:styleId="BalloonText">
    <w:name w:val="Balloon Text"/>
    <w:basedOn w:val="Normal"/>
    <w:link w:val="BalloonTextChar"/>
    <w:uiPriority w:val="99"/>
    <w:semiHidden/>
    <w:unhideWhenUsed/>
    <w:rsid w:val="001024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42A"/>
    <w:rPr>
      <w:rFonts w:ascii="Lucida Grande" w:eastAsia="Arial" w:hAnsi="Lucida Grande" w:cs="Lucida Grande"/>
      <w:sz w:val="18"/>
      <w:szCs w:val="18"/>
      <w:lang w:val="en"/>
    </w:rPr>
  </w:style>
  <w:style w:type="paragraph" w:styleId="Header">
    <w:name w:val="header"/>
    <w:basedOn w:val="Normal"/>
    <w:link w:val="HeaderChar"/>
    <w:uiPriority w:val="99"/>
    <w:unhideWhenUsed/>
    <w:rsid w:val="0062647D"/>
    <w:pPr>
      <w:tabs>
        <w:tab w:val="center" w:pos="4320"/>
        <w:tab w:val="right" w:pos="8640"/>
      </w:tabs>
      <w:spacing w:line="240" w:lineRule="auto"/>
    </w:pPr>
  </w:style>
  <w:style w:type="character" w:customStyle="1" w:styleId="HeaderChar">
    <w:name w:val="Header Char"/>
    <w:basedOn w:val="DefaultParagraphFont"/>
    <w:link w:val="Header"/>
    <w:uiPriority w:val="99"/>
    <w:rsid w:val="0062647D"/>
    <w:rPr>
      <w:rFonts w:ascii="Arial" w:eastAsia="Arial" w:hAnsi="Arial" w:cs="Arial"/>
      <w:sz w:val="22"/>
      <w:szCs w:val="22"/>
      <w:lang w:val="en"/>
    </w:rPr>
  </w:style>
  <w:style w:type="paragraph" w:styleId="Footer">
    <w:name w:val="footer"/>
    <w:basedOn w:val="Normal"/>
    <w:link w:val="FooterChar"/>
    <w:uiPriority w:val="99"/>
    <w:unhideWhenUsed/>
    <w:rsid w:val="0062647D"/>
    <w:pPr>
      <w:tabs>
        <w:tab w:val="center" w:pos="4320"/>
        <w:tab w:val="right" w:pos="8640"/>
      </w:tabs>
      <w:spacing w:line="240" w:lineRule="auto"/>
    </w:pPr>
  </w:style>
  <w:style w:type="character" w:customStyle="1" w:styleId="FooterChar">
    <w:name w:val="Footer Char"/>
    <w:basedOn w:val="DefaultParagraphFont"/>
    <w:link w:val="Footer"/>
    <w:uiPriority w:val="99"/>
    <w:rsid w:val="0062647D"/>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2A"/>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10242A"/>
    <w:pPr>
      <w:keepNext/>
      <w:keepLines/>
      <w:spacing w:before="400" w:after="120"/>
      <w:outlineLvl w:val="0"/>
    </w:pPr>
    <w:rPr>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2A"/>
    <w:rPr>
      <w:rFonts w:ascii="Arial" w:eastAsia="Arial" w:hAnsi="Arial" w:cs="Arial"/>
      <w:sz w:val="40"/>
      <w:szCs w:val="40"/>
      <w:lang w:val="en"/>
    </w:rPr>
  </w:style>
  <w:style w:type="paragraph" w:styleId="TOC1">
    <w:name w:val="toc 1"/>
    <w:basedOn w:val="Normal"/>
    <w:next w:val="Normal"/>
    <w:autoRedefine/>
    <w:uiPriority w:val="39"/>
    <w:unhideWhenUsed/>
    <w:rsid w:val="0010242A"/>
    <w:pPr>
      <w:spacing w:after="100"/>
    </w:pPr>
  </w:style>
  <w:style w:type="paragraph" w:styleId="BalloonText">
    <w:name w:val="Balloon Text"/>
    <w:basedOn w:val="Normal"/>
    <w:link w:val="BalloonTextChar"/>
    <w:uiPriority w:val="99"/>
    <w:semiHidden/>
    <w:unhideWhenUsed/>
    <w:rsid w:val="001024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42A"/>
    <w:rPr>
      <w:rFonts w:ascii="Lucida Grande" w:eastAsia="Arial" w:hAnsi="Lucida Grande" w:cs="Lucida Grande"/>
      <w:sz w:val="18"/>
      <w:szCs w:val="18"/>
      <w:lang w:val="en"/>
    </w:rPr>
  </w:style>
  <w:style w:type="paragraph" w:styleId="Header">
    <w:name w:val="header"/>
    <w:basedOn w:val="Normal"/>
    <w:link w:val="HeaderChar"/>
    <w:uiPriority w:val="99"/>
    <w:unhideWhenUsed/>
    <w:rsid w:val="0062647D"/>
    <w:pPr>
      <w:tabs>
        <w:tab w:val="center" w:pos="4320"/>
        <w:tab w:val="right" w:pos="8640"/>
      </w:tabs>
      <w:spacing w:line="240" w:lineRule="auto"/>
    </w:pPr>
  </w:style>
  <w:style w:type="character" w:customStyle="1" w:styleId="HeaderChar">
    <w:name w:val="Header Char"/>
    <w:basedOn w:val="DefaultParagraphFont"/>
    <w:link w:val="Header"/>
    <w:uiPriority w:val="99"/>
    <w:rsid w:val="0062647D"/>
    <w:rPr>
      <w:rFonts w:ascii="Arial" w:eastAsia="Arial" w:hAnsi="Arial" w:cs="Arial"/>
      <w:sz w:val="22"/>
      <w:szCs w:val="22"/>
      <w:lang w:val="en"/>
    </w:rPr>
  </w:style>
  <w:style w:type="paragraph" w:styleId="Footer">
    <w:name w:val="footer"/>
    <w:basedOn w:val="Normal"/>
    <w:link w:val="FooterChar"/>
    <w:uiPriority w:val="99"/>
    <w:unhideWhenUsed/>
    <w:rsid w:val="0062647D"/>
    <w:pPr>
      <w:tabs>
        <w:tab w:val="center" w:pos="4320"/>
        <w:tab w:val="right" w:pos="8640"/>
      </w:tabs>
      <w:spacing w:line="240" w:lineRule="auto"/>
    </w:pPr>
  </w:style>
  <w:style w:type="character" w:customStyle="1" w:styleId="FooterChar">
    <w:name w:val="Footer Char"/>
    <w:basedOn w:val="DefaultParagraphFont"/>
    <w:link w:val="Footer"/>
    <w:uiPriority w:val="99"/>
    <w:rsid w:val="0062647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1081</Words>
  <Characters>6163</Characters>
  <Application>Microsoft Macintosh Word</Application>
  <DocSecurity>0</DocSecurity>
  <Lines>51</Lines>
  <Paragraphs>14</Paragraphs>
  <ScaleCrop>false</ScaleCrop>
  <Company>Caring Across Generations</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Kilpatrick</dc:creator>
  <cp:keywords/>
  <dc:description/>
  <cp:lastModifiedBy>Lance Kilpatrick</cp:lastModifiedBy>
  <cp:revision>2</cp:revision>
  <dcterms:created xsi:type="dcterms:W3CDTF">2019-03-05T01:48:00Z</dcterms:created>
  <dcterms:modified xsi:type="dcterms:W3CDTF">2019-03-05T01:48:00Z</dcterms:modified>
</cp:coreProperties>
</file>