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35B" w14:textId="202DBC96" w:rsidR="006C26E3" w:rsidRDefault="006C26E3">
      <w:pPr>
        <w:spacing w:line="240" w:lineRule="auto"/>
        <w:contextualSpacing w:val="0"/>
        <w:rPr>
          <w:rFonts w:ascii="Calibri" w:eastAsia="Calibri" w:hAnsi="Calibri" w:cs="Calibri"/>
          <w:b/>
        </w:rPr>
      </w:pPr>
      <w:r>
        <w:rPr>
          <w:rFonts w:ascii="Arimo" w:eastAsia="Calibri" w:hAnsi="Arimo" w:cs="Arimo"/>
          <w:noProof/>
          <w:sz w:val="18"/>
          <w:szCs w:val="18"/>
          <w:lang w:val="en-US"/>
        </w:rPr>
        <w:drawing>
          <wp:inline distT="0" distB="0" distL="0" distR="0" wp14:anchorId="0E8CA8FC" wp14:editId="75DC0F58">
            <wp:extent cx="2254709" cy="4151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dapirg.gif"/>
                    <pic:cNvPicPr/>
                  </pic:nvPicPr>
                  <pic:blipFill>
                    <a:blip r:embed="rId4">
                      <a:extLst>
                        <a:ext uri="{28A0092B-C50C-407E-A947-70E740481C1C}">
                          <a14:useLocalDpi xmlns:a14="http://schemas.microsoft.com/office/drawing/2010/main" val="0"/>
                        </a:ext>
                      </a:extLst>
                    </a:blip>
                    <a:stretch>
                      <a:fillRect/>
                    </a:stretch>
                  </pic:blipFill>
                  <pic:spPr>
                    <a:xfrm>
                      <a:off x="0" y="0"/>
                      <a:ext cx="2284822" cy="420671"/>
                    </a:xfrm>
                    <a:prstGeom prst="rect">
                      <a:avLst/>
                    </a:prstGeom>
                  </pic:spPr>
                </pic:pic>
              </a:graphicData>
            </a:graphic>
          </wp:inline>
        </w:drawing>
      </w:r>
      <w:r w:rsidR="00EF16B7">
        <w:rPr>
          <w:rFonts w:ascii="Calibri" w:eastAsia="Calibri" w:hAnsi="Calibri" w:cs="Calibri"/>
          <w:b/>
        </w:rPr>
        <w:tab/>
      </w:r>
      <w:r w:rsidR="00EF16B7">
        <w:rPr>
          <w:rFonts w:ascii="Calibri" w:eastAsia="Calibri" w:hAnsi="Calibri" w:cs="Calibri"/>
          <w:b/>
        </w:rPr>
        <w:tab/>
      </w:r>
      <w:r w:rsidR="00EF16B7">
        <w:rPr>
          <w:rFonts w:ascii="Calibri" w:eastAsia="Calibri" w:hAnsi="Calibri" w:cs="Calibri"/>
          <w:b/>
        </w:rPr>
        <w:tab/>
        <w:t xml:space="preserve"> </w:t>
      </w:r>
      <w:r w:rsidR="00EF16B7">
        <w:rPr>
          <w:rFonts w:ascii="Calibri" w:eastAsia="Calibri" w:hAnsi="Calibri" w:cs="Calibri"/>
          <w:b/>
          <w:noProof/>
          <w:lang w:val="en-US"/>
        </w:rPr>
        <w:drawing>
          <wp:inline distT="0" distB="0" distL="0" distR="0" wp14:anchorId="70506BC0" wp14:editId="6EF47C7B">
            <wp:extent cx="1682948" cy="420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an-logo-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724" cy="428681"/>
                    </a:xfrm>
                    <a:prstGeom prst="rect">
                      <a:avLst/>
                    </a:prstGeom>
                  </pic:spPr>
                </pic:pic>
              </a:graphicData>
            </a:graphic>
          </wp:inline>
        </w:drawing>
      </w:r>
    </w:p>
    <w:p w14:paraId="7A42BB00" w14:textId="77777777" w:rsidR="00EF16B7" w:rsidRDefault="00EF16B7">
      <w:pPr>
        <w:spacing w:line="240" w:lineRule="auto"/>
        <w:contextualSpacing w:val="0"/>
        <w:rPr>
          <w:rFonts w:ascii="Calibri" w:eastAsia="Calibri" w:hAnsi="Calibri" w:cs="Calibri"/>
          <w:b/>
        </w:rPr>
      </w:pPr>
    </w:p>
    <w:p w14:paraId="05339E4F" w14:textId="33F5DD97" w:rsidR="006A153D" w:rsidRDefault="008F0CC5">
      <w:pPr>
        <w:spacing w:line="240" w:lineRule="auto"/>
        <w:contextualSpacing w:val="0"/>
        <w:rPr>
          <w:rFonts w:ascii="Times New Roman" w:eastAsia="Times New Roman" w:hAnsi="Times New Roman" w:cs="Times New Roman"/>
          <w:sz w:val="24"/>
          <w:szCs w:val="24"/>
          <w:highlight w:val="yellow"/>
        </w:rPr>
      </w:pPr>
      <w:r>
        <w:rPr>
          <w:rFonts w:ascii="Calibri" w:eastAsia="Calibri" w:hAnsi="Calibri" w:cs="Calibri"/>
          <w:b/>
        </w:rPr>
        <w:t>For Immediate Release</w:t>
      </w:r>
      <w:r>
        <w:rPr>
          <w:rFonts w:ascii="Calibri" w:eastAsia="Calibri" w:hAnsi="Calibri" w:cs="Calibri"/>
        </w:rPr>
        <w:t xml:space="preserve">: </w:t>
      </w:r>
      <w:r w:rsidR="00E40290">
        <w:rPr>
          <w:rFonts w:ascii="Calibri" w:eastAsia="Calibri" w:hAnsi="Calibri" w:cs="Calibri"/>
        </w:rPr>
        <w:t>November 15, 2018</w:t>
      </w:r>
    </w:p>
    <w:p w14:paraId="284CE8AF" w14:textId="4F99A7D7" w:rsidR="006A153D" w:rsidRDefault="008F0CC5" w:rsidP="00E40290">
      <w:pPr>
        <w:spacing w:after="200" w:line="240" w:lineRule="auto"/>
        <w:contextualSpacing w:val="0"/>
        <w:rPr>
          <w:rFonts w:ascii="Times New Roman" w:eastAsia="Times New Roman" w:hAnsi="Times New Roman" w:cs="Times New Roman"/>
          <w:sz w:val="24"/>
          <w:szCs w:val="24"/>
        </w:rPr>
      </w:pPr>
      <w:r>
        <w:rPr>
          <w:rFonts w:ascii="Calibri" w:eastAsia="Calibri" w:hAnsi="Calibri" w:cs="Calibri"/>
          <w:b/>
        </w:rPr>
        <w:t>For Additional Information</w:t>
      </w:r>
      <w:r>
        <w:rPr>
          <w:rFonts w:ascii="Calibri" w:eastAsia="Calibri" w:hAnsi="Calibri" w:cs="Calibri"/>
        </w:rPr>
        <w:t xml:space="preserve">: </w:t>
      </w:r>
      <w:r w:rsidR="00E40290">
        <w:rPr>
          <w:rFonts w:ascii="Calibri" w:eastAsia="Calibri" w:hAnsi="Calibri" w:cs="Calibri"/>
        </w:rPr>
        <w:t xml:space="preserve">Bill Newton FCAN </w:t>
      </w:r>
      <w:hyperlink r:id="rId6" w:history="1">
        <w:r w:rsidR="00E40290" w:rsidRPr="006207BE">
          <w:rPr>
            <w:rStyle w:val="Hyperlink"/>
            <w:rFonts w:ascii="Calibri" w:eastAsia="Calibri" w:hAnsi="Calibri" w:cs="Calibri"/>
          </w:rPr>
          <w:t>billn@fcan.org</w:t>
        </w:r>
      </w:hyperlink>
      <w:r w:rsidR="00E40290">
        <w:rPr>
          <w:rFonts w:ascii="Calibri" w:eastAsia="Calibri" w:hAnsi="Calibri" w:cs="Calibri"/>
        </w:rPr>
        <w:t xml:space="preserve">  727-685-0655 or </w:t>
      </w:r>
      <w:r w:rsidR="00E40290">
        <w:rPr>
          <w:rFonts w:ascii="Calibri" w:eastAsia="Calibri" w:hAnsi="Calibri" w:cs="Calibri"/>
        </w:rPr>
        <w:br/>
        <w:t xml:space="preserve">                                                   Danielle Caci All Children’s </w:t>
      </w:r>
      <w:hyperlink r:id="rId7" w:history="1">
        <w:r w:rsidR="00E40290" w:rsidRPr="006207BE">
          <w:rPr>
            <w:rStyle w:val="Hyperlink"/>
            <w:rFonts w:ascii="Calibri" w:eastAsia="Calibri" w:hAnsi="Calibri" w:cs="Calibri"/>
          </w:rPr>
          <w:t>danielle.caci@jhmi.edu</w:t>
        </w:r>
      </w:hyperlink>
      <w:r w:rsidR="00E40290">
        <w:rPr>
          <w:rFonts w:ascii="Calibri" w:eastAsia="Calibri" w:hAnsi="Calibri" w:cs="Calibri"/>
        </w:rPr>
        <w:t xml:space="preserve">  </w:t>
      </w:r>
      <w:r w:rsidR="00E40290" w:rsidRPr="00E40290">
        <w:rPr>
          <w:rFonts w:ascii="Calibri" w:eastAsia="Calibri" w:hAnsi="Calibri" w:cs="Calibri"/>
        </w:rPr>
        <w:t xml:space="preserve">727-767-2897 </w:t>
      </w:r>
    </w:p>
    <w:p w14:paraId="29874CF4" w14:textId="6C0541A0" w:rsidR="006A153D" w:rsidRPr="00EF16B7" w:rsidRDefault="008F0CC5" w:rsidP="00EF16B7">
      <w:pPr>
        <w:spacing w:line="240" w:lineRule="auto"/>
        <w:contextualSpacing w:val="0"/>
        <w:rPr>
          <w:rFonts w:ascii="Calibri" w:eastAsia="Calibri" w:hAnsi="Calibri" w:cs="Calibri"/>
          <w:b/>
          <w:sz w:val="52"/>
          <w:szCs w:val="52"/>
        </w:rPr>
      </w:pPr>
      <w:bookmarkStart w:id="0" w:name="_na7f5qs3yh9i" w:colFirst="0" w:colLast="0"/>
      <w:bookmarkEnd w:id="0"/>
      <w:r w:rsidRPr="00EF16B7">
        <w:rPr>
          <w:rFonts w:ascii="Calibri" w:eastAsia="Calibri" w:hAnsi="Calibri" w:cs="Calibri"/>
          <w:b/>
          <w:sz w:val="52"/>
          <w:szCs w:val="52"/>
        </w:rPr>
        <w:t>PRESS ADVISORY</w:t>
      </w:r>
    </w:p>
    <w:p w14:paraId="7ED708AC" w14:textId="77777777" w:rsidR="00EF16B7" w:rsidRDefault="00EF16B7" w:rsidP="00EF16B7">
      <w:pPr>
        <w:spacing w:line="240" w:lineRule="auto"/>
        <w:contextualSpacing w:val="0"/>
        <w:rPr>
          <w:rFonts w:ascii="Calibri" w:eastAsia="Calibri" w:hAnsi="Calibri" w:cs="Calibri"/>
          <w:b/>
          <w:sz w:val="28"/>
          <w:szCs w:val="28"/>
        </w:rPr>
      </w:pPr>
      <w:bookmarkStart w:id="1" w:name="_fifsx0sgpj1r" w:colFirst="0" w:colLast="0"/>
      <w:bookmarkEnd w:id="1"/>
    </w:p>
    <w:p w14:paraId="469FFC24" w14:textId="15A89133" w:rsidR="006A153D" w:rsidRDefault="008F0CC5" w:rsidP="00EF16B7">
      <w:pPr>
        <w:spacing w:line="240" w:lineRule="auto"/>
        <w:contextualSpacing w:val="0"/>
        <w:rPr>
          <w:rFonts w:ascii="Calibri" w:eastAsia="Calibri" w:hAnsi="Calibri" w:cs="Calibri"/>
          <w:b/>
          <w:sz w:val="28"/>
          <w:szCs w:val="28"/>
        </w:rPr>
      </w:pPr>
      <w:r>
        <w:rPr>
          <w:rFonts w:ascii="Calibri" w:eastAsia="Calibri" w:hAnsi="Calibri" w:cs="Calibri"/>
          <w:b/>
          <w:sz w:val="28"/>
          <w:szCs w:val="28"/>
        </w:rPr>
        <w:t xml:space="preserve">33rd annual </w:t>
      </w:r>
      <w:r>
        <w:rPr>
          <w:rFonts w:ascii="Calibri" w:eastAsia="Calibri" w:hAnsi="Calibri" w:cs="Calibri"/>
          <w:b/>
          <w:i/>
          <w:sz w:val="28"/>
          <w:szCs w:val="28"/>
        </w:rPr>
        <w:t>Trouble in Toyland</w:t>
      </w:r>
      <w:r>
        <w:rPr>
          <w:rFonts w:ascii="Calibri" w:eastAsia="Calibri" w:hAnsi="Calibri" w:cs="Calibri"/>
          <w:b/>
          <w:sz w:val="28"/>
          <w:szCs w:val="28"/>
        </w:rPr>
        <w:t xml:space="preserve"> report warns parents about dangerous toys </w:t>
      </w:r>
    </w:p>
    <w:p w14:paraId="0298C035" w14:textId="77777777" w:rsidR="006A153D" w:rsidRDefault="006A153D">
      <w:pPr>
        <w:spacing w:line="240" w:lineRule="auto"/>
        <w:contextualSpacing w:val="0"/>
        <w:jc w:val="center"/>
        <w:rPr>
          <w:rFonts w:ascii="Calibri" w:eastAsia="Calibri" w:hAnsi="Calibri" w:cs="Calibri"/>
          <w:b/>
          <w:sz w:val="28"/>
          <w:szCs w:val="28"/>
        </w:rPr>
      </w:pPr>
      <w:bookmarkStart w:id="2" w:name="_ipihgcfzzjdd" w:colFirst="0" w:colLast="0"/>
      <w:bookmarkEnd w:id="2"/>
    </w:p>
    <w:p w14:paraId="39125D8A" w14:textId="4583854A" w:rsidR="006A153D" w:rsidRPr="00EF16B7" w:rsidRDefault="008F0CC5">
      <w:pPr>
        <w:spacing w:line="240" w:lineRule="auto"/>
        <w:contextualSpacing w:val="0"/>
        <w:rPr>
          <w:rFonts w:asciiTheme="majorHAnsi" w:hAnsiTheme="majorHAnsi" w:cstheme="majorHAnsi"/>
        </w:rPr>
      </w:pPr>
      <w:r w:rsidRPr="00EF16B7">
        <w:rPr>
          <w:rFonts w:asciiTheme="majorHAnsi" w:hAnsiTheme="majorHAnsi" w:cstheme="majorHAnsi"/>
          <w:b/>
        </w:rPr>
        <w:t>WHAT:</w:t>
      </w:r>
      <w:r w:rsidR="00E40290" w:rsidRPr="00EF16B7">
        <w:rPr>
          <w:rFonts w:asciiTheme="majorHAnsi" w:hAnsiTheme="majorHAnsi" w:cstheme="majorHAnsi"/>
          <w:b/>
        </w:rPr>
        <w:t xml:space="preserve">  Congresswoman Kathy Castor, Johns Hopkins All Children’s Hospital and Florida Consumer Action Network </w:t>
      </w:r>
      <w:r w:rsidRPr="00EF16B7">
        <w:rPr>
          <w:rFonts w:asciiTheme="majorHAnsi" w:hAnsiTheme="majorHAnsi" w:cstheme="majorHAnsi"/>
        </w:rPr>
        <w:t xml:space="preserve">will release </w:t>
      </w:r>
      <w:r w:rsidR="00E40290" w:rsidRPr="00EF16B7">
        <w:rPr>
          <w:rFonts w:asciiTheme="majorHAnsi" w:hAnsiTheme="majorHAnsi" w:cstheme="majorHAnsi"/>
        </w:rPr>
        <w:t xml:space="preserve">Florida PIRG’s </w:t>
      </w:r>
      <w:r w:rsidRPr="00EF16B7">
        <w:rPr>
          <w:rFonts w:asciiTheme="majorHAnsi" w:hAnsiTheme="majorHAnsi" w:cstheme="majorHAnsi"/>
        </w:rPr>
        <w:t xml:space="preserve">33rd annual </w:t>
      </w:r>
      <w:r w:rsidRPr="00EF16B7">
        <w:rPr>
          <w:rFonts w:asciiTheme="majorHAnsi" w:hAnsiTheme="majorHAnsi" w:cstheme="majorHAnsi"/>
          <w:i/>
        </w:rPr>
        <w:t>Trouble in Toyland</w:t>
      </w:r>
      <w:r w:rsidRPr="00EF16B7">
        <w:rPr>
          <w:rFonts w:asciiTheme="majorHAnsi" w:hAnsiTheme="majorHAnsi" w:cstheme="majorHAnsi"/>
        </w:rPr>
        <w:t xml:space="preserve"> survey of dangerous toys on store shelves as holiday gift-buying season begins. This year’s investigation again found hazardous toys for sale that are contaminated by toxic chemicals, spy on kids, or pose choking hazards. The results come from new laboratory tests and research into the safety of popular gifts. </w:t>
      </w:r>
      <w:r w:rsidR="00E40290" w:rsidRPr="00EF16B7">
        <w:rPr>
          <w:rFonts w:asciiTheme="majorHAnsi" w:hAnsiTheme="majorHAnsi" w:cstheme="majorHAnsi"/>
        </w:rPr>
        <w:t>We</w:t>
      </w:r>
      <w:r w:rsidRPr="00EF16B7">
        <w:rPr>
          <w:rFonts w:asciiTheme="majorHAnsi" w:hAnsiTheme="majorHAnsi" w:cstheme="majorHAnsi"/>
        </w:rPr>
        <w:t xml:space="preserve"> will also unveil a website to help parents evaluate dangerous toys and inform parents of recalled toys they may have already purchased.</w:t>
      </w:r>
    </w:p>
    <w:p w14:paraId="109B3807" w14:textId="77777777" w:rsidR="006A153D" w:rsidRPr="00EF16B7" w:rsidRDefault="006A153D">
      <w:pPr>
        <w:spacing w:line="240" w:lineRule="auto"/>
        <w:contextualSpacing w:val="0"/>
        <w:rPr>
          <w:rFonts w:asciiTheme="majorHAnsi" w:hAnsiTheme="majorHAnsi" w:cstheme="majorHAnsi"/>
        </w:rPr>
      </w:pPr>
    </w:p>
    <w:p w14:paraId="2DC11433" w14:textId="77777777" w:rsidR="006A153D" w:rsidRDefault="006A153D">
      <w:pPr>
        <w:contextualSpacing w:val="0"/>
      </w:pPr>
    </w:p>
    <w:p w14:paraId="6330B015" w14:textId="3023BD4E" w:rsidR="006A153D" w:rsidRPr="00EF16B7" w:rsidRDefault="008F0CC5">
      <w:pPr>
        <w:contextualSpacing w:val="0"/>
        <w:rPr>
          <w:rFonts w:asciiTheme="majorHAnsi" w:hAnsiTheme="majorHAnsi" w:cstheme="majorHAnsi"/>
        </w:rPr>
      </w:pPr>
      <w:r w:rsidRPr="00EF16B7">
        <w:rPr>
          <w:rFonts w:asciiTheme="majorHAnsi" w:hAnsiTheme="majorHAnsi" w:cstheme="majorHAnsi"/>
          <w:b/>
        </w:rPr>
        <w:t xml:space="preserve">WHEN: </w:t>
      </w:r>
      <w:r w:rsidRPr="00EF16B7">
        <w:rPr>
          <w:rFonts w:asciiTheme="majorHAnsi" w:hAnsiTheme="majorHAnsi" w:cstheme="majorHAnsi"/>
        </w:rPr>
        <w:t>Tuesday, November 20th</w:t>
      </w:r>
      <w:r w:rsidRPr="00EF16B7">
        <w:rPr>
          <w:rFonts w:asciiTheme="majorHAnsi" w:hAnsiTheme="majorHAnsi" w:cstheme="majorHAnsi"/>
          <w:b/>
        </w:rPr>
        <w:t xml:space="preserve"> </w:t>
      </w:r>
      <w:r w:rsidR="00E40290" w:rsidRPr="00EF16B7">
        <w:rPr>
          <w:rFonts w:asciiTheme="majorHAnsi" w:hAnsiTheme="majorHAnsi" w:cstheme="majorHAnsi"/>
        </w:rPr>
        <w:t>11 am</w:t>
      </w:r>
    </w:p>
    <w:p w14:paraId="75A1A15B" w14:textId="77777777" w:rsidR="006A153D" w:rsidRPr="00EF16B7" w:rsidRDefault="006A153D">
      <w:pPr>
        <w:contextualSpacing w:val="0"/>
        <w:rPr>
          <w:rFonts w:asciiTheme="majorHAnsi" w:hAnsiTheme="majorHAnsi" w:cstheme="majorHAnsi"/>
        </w:rPr>
      </w:pPr>
    </w:p>
    <w:p w14:paraId="1A671E2D" w14:textId="77777777" w:rsidR="00E40290" w:rsidRPr="00EF16B7" w:rsidRDefault="008F0CC5" w:rsidP="00E40290">
      <w:pPr>
        <w:spacing w:line="240" w:lineRule="auto"/>
        <w:contextualSpacing w:val="0"/>
        <w:rPr>
          <w:rFonts w:asciiTheme="majorHAnsi" w:hAnsiTheme="majorHAnsi" w:cstheme="majorHAnsi"/>
        </w:rPr>
      </w:pPr>
      <w:r w:rsidRPr="00EF16B7">
        <w:rPr>
          <w:rFonts w:asciiTheme="majorHAnsi" w:hAnsiTheme="majorHAnsi" w:cstheme="majorHAnsi"/>
          <w:b/>
        </w:rPr>
        <w:t xml:space="preserve">WHERE: </w:t>
      </w:r>
      <w:r w:rsidR="00E40290" w:rsidRPr="00EF16B7">
        <w:rPr>
          <w:rFonts w:asciiTheme="majorHAnsi" w:hAnsiTheme="majorHAnsi" w:cstheme="majorHAnsi"/>
        </w:rPr>
        <w:t>Johns Hopkins All Children’s Hospital Children’s Auditorium</w:t>
      </w:r>
    </w:p>
    <w:p w14:paraId="11E58DEA" w14:textId="6AB508FA" w:rsidR="00E40290" w:rsidRPr="00EF16B7" w:rsidRDefault="00E40290" w:rsidP="00E40290">
      <w:pPr>
        <w:spacing w:line="240" w:lineRule="auto"/>
        <w:ind w:firstLine="720"/>
        <w:contextualSpacing w:val="0"/>
        <w:rPr>
          <w:rFonts w:asciiTheme="majorHAnsi" w:hAnsiTheme="majorHAnsi" w:cstheme="majorHAnsi"/>
        </w:rPr>
      </w:pPr>
      <w:r w:rsidRPr="00EF16B7">
        <w:rPr>
          <w:rFonts w:asciiTheme="majorHAnsi" w:hAnsiTheme="majorHAnsi" w:cstheme="majorHAnsi"/>
        </w:rPr>
        <w:t xml:space="preserve">    </w:t>
      </w:r>
      <w:r w:rsidRPr="00EF16B7">
        <w:rPr>
          <w:rFonts w:asciiTheme="majorHAnsi" w:hAnsiTheme="majorHAnsi" w:cstheme="majorHAnsi"/>
        </w:rPr>
        <w:t>501 6th Avenue South St. Petersburg, FL</w:t>
      </w:r>
    </w:p>
    <w:p w14:paraId="54B805F6" w14:textId="3B530ACF" w:rsidR="006A153D" w:rsidRPr="00EF16B7" w:rsidRDefault="00E40290" w:rsidP="00E40290">
      <w:pPr>
        <w:spacing w:line="240" w:lineRule="auto"/>
        <w:ind w:firstLine="720"/>
        <w:contextualSpacing w:val="0"/>
        <w:rPr>
          <w:rFonts w:asciiTheme="majorHAnsi" w:hAnsiTheme="majorHAnsi" w:cstheme="majorHAnsi"/>
        </w:rPr>
      </w:pPr>
      <w:r w:rsidRPr="00EF16B7">
        <w:rPr>
          <w:rFonts w:asciiTheme="majorHAnsi" w:hAnsiTheme="majorHAnsi" w:cstheme="majorHAnsi"/>
        </w:rPr>
        <w:t xml:space="preserve">    </w:t>
      </w:r>
      <w:r w:rsidRPr="00EF16B7">
        <w:rPr>
          <w:rFonts w:asciiTheme="majorHAnsi" w:hAnsiTheme="majorHAnsi" w:cstheme="majorHAnsi"/>
        </w:rPr>
        <w:t>Media can park in main circle or to the right of the circle located at main entrance</w:t>
      </w:r>
      <w:r w:rsidRPr="00EF16B7">
        <w:rPr>
          <w:rFonts w:asciiTheme="majorHAnsi" w:hAnsiTheme="majorHAnsi" w:cstheme="majorHAnsi"/>
        </w:rPr>
        <w:t xml:space="preserve"> </w:t>
      </w:r>
    </w:p>
    <w:p w14:paraId="32C98968" w14:textId="77777777" w:rsidR="006A153D" w:rsidRPr="00EF16B7" w:rsidRDefault="006A153D">
      <w:pPr>
        <w:contextualSpacing w:val="0"/>
        <w:rPr>
          <w:rFonts w:asciiTheme="majorHAnsi" w:hAnsiTheme="majorHAnsi" w:cstheme="majorHAnsi"/>
        </w:rPr>
      </w:pPr>
    </w:p>
    <w:p w14:paraId="3C07A989" w14:textId="70E18A03" w:rsidR="006C26E3" w:rsidRPr="00EF16B7" w:rsidRDefault="008F0CC5" w:rsidP="006C26E3">
      <w:pPr>
        <w:ind w:left="810" w:hanging="810"/>
        <w:contextualSpacing w:val="0"/>
        <w:rPr>
          <w:rFonts w:asciiTheme="majorHAnsi" w:hAnsiTheme="majorHAnsi" w:cstheme="majorHAnsi"/>
        </w:rPr>
      </w:pPr>
      <w:r w:rsidRPr="00EF16B7">
        <w:rPr>
          <w:rFonts w:asciiTheme="majorHAnsi" w:hAnsiTheme="majorHAnsi" w:cstheme="majorHAnsi"/>
          <w:b/>
        </w:rPr>
        <w:t xml:space="preserve">WHO:  </w:t>
      </w:r>
      <w:r w:rsidR="006C26E3" w:rsidRPr="00EF16B7">
        <w:rPr>
          <w:rFonts w:asciiTheme="majorHAnsi" w:hAnsiTheme="majorHAnsi" w:cstheme="majorHAnsi"/>
          <w:b/>
        </w:rPr>
        <w:t xml:space="preserve"> </w:t>
      </w:r>
      <w:r w:rsidR="00E40290" w:rsidRPr="00EF16B7">
        <w:rPr>
          <w:rFonts w:asciiTheme="majorHAnsi" w:hAnsiTheme="majorHAnsi" w:cstheme="majorHAnsi"/>
          <w:b/>
        </w:rPr>
        <w:t>Congresswoman Kathy Castor</w:t>
      </w:r>
      <w:r w:rsidR="00E40290" w:rsidRPr="00EF16B7">
        <w:rPr>
          <w:rFonts w:asciiTheme="majorHAnsi" w:hAnsiTheme="majorHAnsi" w:cstheme="majorHAnsi"/>
        </w:rPr>
        <w:t xml:space="preserve">, </w:t>
      </w:r>
      <w:r w:rsidR="006C26E3" w:rsidRPr="00EF16B7">
        <w:rPr>
          <w:rFonts w:asciiTheme="majorHAnsi" w:hAnsiTheme="majorHAnsi" w:cstheme="majorHAnsi"/>
        </w:rPr>
        <w:br/>
      </w:r>
      <w:r w:rsidR="006C26E3" w:rsidRPr="00EF16B7">
        <w:rPr>
          <w:rFonts w:asciiTheme="majorHAnsi" w:hAnsiTheme="majorHAnsi" w:cstheme="majorHAnsi"/>
          <w:b/>
        </w:rPr>
        <w:t>Petra Vybiralova, Safety expert</w:t>
      </w:r>
      <w:r w:rsidR="006C26E3" w:rsidRPr="00EF16B7">
        <w:rPr>
          <w:rFonts w:asciiTheme="majorHAnsi" w:hAnsiTheme="majorHAnsi" w:cstheme="majorHAnsi"/>
        </w:rPr>
        <w:t xml:space="preserve"> with Johns Hopkins All Children’s Hospital will demonstrate and</w:t>
      </w:r>
      <w:r w:rsidR="006C26E3" w:rsidRPr="00EF16B7">
        <w:rPr>
          <w:rFonts w:asciiTheme="majorHAnsi" w:hAnsiTheme="majorHAnsi" w:cstheme="majorHAnsi"/>
        </w:rPr>
        <w:t xml:space="preserve"> </w:t>
      </w:r>
      <w:r w:rsidR="006C26E3" w:rsidRPr="00EF16B7">
        <w:rPr>
          <w:rFonts w:asciiTheme="majorHAnsi" w:hAnsiTheme="majorHAnsi" w:cstheme="majorHAnsi"/>
        </w:rPr>
        <w:t>discuss the risks of unsafe toys and what to look for</w:t>
      </w:r>
    </w:p>
    <w:p w14:paraId="1010E60F" w14:textId="1470061B" w:rsidR="006C26E3" w:rsidRPr="00EF16B7" w:rsidRDefault="006C26E3" w:rsidP="006C26E3">
      <w:pPr>
        <w:ind w:left="810" w:hanging="810"/>
        <w:contextualSpacing w:val="0"/>
        <w:rPr>
          <w:rFonts w:asciiTheme="majorHAnsi" w:hAnsiTheme="majorHAnsi" w:cstheme="majorHAnsi"/>
        </w:rPr>
      </w:pPr>
      <w:r w:rsidRPr="00EF16B7">
        <w:rPr>
          <w:rFonts w:asciiTheme="majorHAnsi" w:hAnsiTheme="majorHAnsi" w:cstheme="majorHAnsi"/>
          <w:b/>
        </w:rPr>
        <w:tab/>
        <w:t>Bill Newton</w:t>
      </w:r>
      <w:r w:rsidRPr="00EF16B7">
        <w:rPr>
          <w:rFonts w:asciiTheme="majorHAnsi" w:hAnsiTheme="majorHAnsi" w:cstheme="majorHAnsi"/>
        </w:rPr>
        <w:t>, Florida Consumer Action Network</w:t>
      </w:r>
    </w:p>
    <w:p w14:paraId="28A6FE72" w14:textId="2D075261" w:rsidR="006C26E3" w:rsidRPr="00EF16B7" w:rsidRDefault="006C26E3" w:rsidP="006C26E3">
      <w:pPr>
        <w:ind w:left="810" w:hanging="810"/>
        <w:contextualSpacing w:val="0"/>
        <w:rPr>
          <w:rFonts w:asciiTheme="majorHAnsi" w:hAnsiTheme="majorHAnsi" w:cstheme="majorHAnsi"/>
        </w:rPr>
      </w:pPr>
      <w:r w:rsidRPr="00EF16B7">
        <w:rPr>
          <w:rFonts w:asciiTheme="majorHAnsi" w:hAnsiTheme="majorHAnsi" w:cstheme="majorHAnsi"/>
        </w:rPr>
        <w:tab/>
      </w:r>
      <w:r w:rsidRPr="00EF16B7">
        <w:rPr>
          <w:rFonts w:asciiTheme="majorHAnsi" w:hAnsiTheme="majorHAnsi" w:cstheme="majorHAnsi"/>
          <w:b/>
        </w:rPr>
        <w:t>Parents</w:t>
      </w:r>
      <w:r w:rsidRPr="00EF16B7">
        <w:rPr>
          <w:rFonts w:asciiTheme="majorHAnsi" w:hAnsiTheme="majorHAnsi" w:cstheme="majorHAnsi"/>
        </w:rPr>
        <w:t>, including the family of a child who suffered an esophagus and trachea injury after</w:t>
      </w:r>
      <w:r w:rsidRPr="00EF16B7">
        <w:rPr>
          <w:rFonts w:asciiTheme="majorHAnsi" w:hAnsiTheme="majorHAnsi" w:cstheme="majorHAnsi"/>
        </w:rPr>
        <w:t xml:space="preserve"> </w:t>
      </w:r>
      <w:r w:rsidRPr="00EF16B7">
        <w:rPr>
          <w:rFonts w:asciiTheme="majorHAnsi" w:hAnsiTheme="majorHAnsi" w:cstheme="majorHAnsi"/>
        </w:rPr>
        <w:t>swallowing a button battery, will also be on hand for reaction to the report/visuals of children</w:t>
      </w:r>
      <w:r w:rsidRPr="00EF16B7">
        <w:rPr>
          <w:rFonts w:asciiTheme="majorHAnsi" w:hAnsiTheme="majorHAnsi" w:cstheme="majorHAnsi"/>
        </w:rPr>
        <w:t xml:space="preserve"> </w:t>
      </w:r>
      <w:r w:rsidRPr="00EF16B7">
        <w:rPr>
          <w:rFonts w:asciiTheme="majorHAnsi" w:hAnsiTheme="majorHAnsi" w:cstheme="majorHAnsi"/>
        </w:rPr>
        <w:t>playing with toys</w:t>
      </w:r>
    </w:p>
    <w:p w14:paraId="2FDA2ABE" w14:textId="77777777" w:rsidR="006A153D" w:rsidRPr="00EF16B7" w:rsidRDefault="006A153D">
      <w:pPr>
        <w:contextualSpacing w:val="0"/>
        <w:rPr>
          <w:rFonts w:asciiTheme="majorHAnsi" w:hAnsiTheme="majorHAnsi" w:cstheme="majorHAnsi"/>
        </w:rPr>
      </w:pPr>
    </w:p>
    <w:p w14:paraId="5FA69277" w14:textId="2FA7D725" w:rsidR="006A153D" w:rsidRPr="00EF16B7" w:rsidRDefault="008F0CC5">
      <w:pPr>
        <w:contextualSpacing w:val="0"/>
        <w:rPr>
          <w:rFonts w:asciiTheme="majorHAnsi" w:hAnsiTheme="majorHAnsi" w:cstheme="majorHAnsi"/>
          <w:highlight w:val="yellow"/>
        </w:rPr>
      </w:pPr>
      <w:r w:rsidRPr="00EF16B7">
        <w:rPr>
          <w:rFonts w:asciiTheme="majorHAnsi" w:hAnsiTheme="majorHAnsi" w:cstheme="majorHAnsi"/>
          <w:b/>
        </w:rPr>
        <w:t xml:space="preserve">VISUALS: </w:t>
      </w:r>
      <w:r w:rsidRPr="00EF16B7">
        <w:rPr>
          <w:rFonts w:asciiTheme="majorHAnsi" w:hAnsiTheme="majorHAnsi" w:cstheme="majorHAnsi"/>
        </w:rPr>
        <w:t>Some of the hazardous toys will be on display for demonstration</w:t>
      </w:r>
      <w:r w:rsidR="00EF16B7" w:rsidRPr="00EF16B7">
        <w:rPr>
          <w:rFonts w:asciiTheme="majorHAnsi" w:hAnsiTheme="majorHAnsi" w:cstheme="majorHAnsi"/>
        </w:rPr>
        <w:t>. The room is a children’s play room with great backgrounds.</w:t>
      </w:r>
    </w:p>
    <w:p w14:paraId="144DB819" w14:textId="77777777" w:rsidR="006A153D" w:rsidRPr="00EF16B7" w:rsidRDefault="006A153D">
      <w:pPr>
        <w:contextualSpacing w:val="0"/>
        <w:rPr>
          <w:rFonts w:asciiTheme="majorHAnsi" w:hAnsiTheme="majorHAnsi" w:cstheme="majorHAnsi"/>
        </w:rPr>
      </w:pPr>
    </w:p>
    <w:p w14:paraId="049C5AE5" w14:textId="53698BAA" w:rsidR="006A153D" w:rsidRDefault="00EF16B7">
      <w:pPr>
        <w:contextualSpacing w:val="0"/>
        <w:jc w:val="center"/>
      </w:pPr>
      <w:r>
        <w:t># # #</w:t>
      </w:r>
    </w:p>
    <w:p w14:paraId="7D57C56D" w14:textId="77777777" w:rsidR="006A153D" w:rsidRPr="006C26E3" w:rsidRDefault="008F0CC5" w:rsidP="006C26E3">
      <w:pPr>
        <w:contextualSpacing w:val="0"/>
        <w:rPr>
          <w:rFonts w:ascii="Arimo" w:hAnsi="Arimo" w:cs="Arimo"/>
          <w:sz w:val="18"/>
          <w:szCs w:val="18"/>
        </w:rPr>
      </w:pPr>
      <w:r w:rsidRPr="006C26E3">
        <w:rPr>
          <w:rFonts w:ascii="Arimo" w:eastAsia="Times New Roman" w:hAnsi="Arimo" w:cs="Arimo"/>
          <w:sz w:val="18"/>
          <w:szCs w:val="18"/>
        </w:rPr>
        <w:t>PIRGs, Public Interest Research Groups, are non-profit, non-partisan public interest advocacy organizations that stand up to powerful interests whenever they threaten our health and safety, our financial security, or our right to fully participate in our democratic society.</w:t>
      </w:r>
    </w:p>
    <w:p w14:paraId="2ED8BDC5" w14:textId="131FD8E5" w:rsidR="006C26E3" w:rsidRPr="006C26E3" w:rsidRDefault="006C26E3" w:rsidP="00EF16B7">
      <w:pPr>
        <w:spacing w:before="100" w:after="100" w:line="240" w:lineRule="auto"/>
        <w:contextualSpacing w:val="0"/>
        <w:rPr>
          <w:rFonts w:ascii="Arimo" w:eastAsia="Times New Roman" w:hAnsi="Arimo" w:cs="Arimo"/>
          <w:sz w:val="18"/>
          <w:szCs w:val="18"/>
        </w:rPr>
      </w:pPr>
      <w:r w:rsidRPr="006C26E3">
        <w:rPr>
          <w:rFonts w:ascii="Arimo" w:eastAsia="Times New Roman" w:hAnsi="Arimo" w:cs="Arimo"/>
          <w:sz w:val="18"/>
          <w:szCs w:val="18"/>
        </w:rPr>
        <w:t>Florida Consumer Action Network (FCAN) is a grassroots organization which empowers citizens to influence</w:t>
      </w:r>
      <w:r w:rsidR="00EF16B7">
        <w:rPr>
          <w:rFonts w:ascii="Arimo" w:eastAsia="Times New Roman" w:hAnsi="Arimo" w:cs="Arimo"/>
          <w:sz w:val="18"/>
          <w:szCs w:val="18"/>
        </w:rPr>
        <w:t xml:space="preserve"> </w:t>
      </w:r>
      <w:r w:rsidRPr="006C26E3">
        <w:rPr>
          <w:rFonts w:ascii="Arimo" w:eastAsia="Times New Roman" w:hAnsi="Arimo" w:cs="Arimo"/>
          <w:sz w:val="18"/>
          <w:szCs w:val="18"/>
        </w:rPr>
        <w:t xml:space="preserve">public policy by organizing and educating in areas where consumer voices are underrepresented. </w:t>
      </w:r>
    </w:p>
    <w:p w14:paraId="6C46FCC1" w14:textId="5266BDDD" w:rsidR="006A153D" w:rsidRPr="00EF16B7" w:rsidRDefault="006C26E3" w:rsidP="00EF16B7">
      <w:pPr>
        <w:contextualSpacing w:val="0"/>
        <w:rPr>
          <w:rFonts w:ascii="Arimo" w:eastAsia="Times New Roman" w:hAnsi="Arimo" w:cs="Arimo"/>
          <w:sz w:val="18"/>
          <w:szCs w:val="18"/>
        </w:rPr>
      </w:pPr>
      <w:bookmarkStart w:id="3" w:name="_GoBack"/>
      <w:bookmarkEnd w:id="3"/>
      <w:r w:rsidRPr="00EF16B7">
        <w:rPr>
          <w:rFonts w:ascii="Arimo" w:eastAsia="Times New Roman" w:hAnsi="Arimo" w:cs="Arimo"/>
          <w:sz w:val="18"/>
          <w:szCs w:val="18"/>
        </w:rPr>
        <w:t>Johns Hopkins All Children’s Hospital in St. Petersburg is a leader in children’s health care,</w:t>
      </w:r>
      <w:r w:rsidR="00EF16B7">
        <w:rPr>
          <w:rFonts w:ascii="Arimo" w:eastAsia="Times New Roman" w:hAnsi="Arimo" w:cs="Arimo"/>
          <w:sz w:val="18"/>
          <w:szCs w:val="18"/>
        </w:rPr>
        <w:t xml:space="preserve"> </w:t>
      </w:r>
      <w:r w:rsidRPr="00EF16B7">
        <w:rPr>
          <w:rFonts w:ascii="Arimo" w:eastAsia="Times New Roman" w:hAnsi="Arimo" w:cs="Arimo"/>
          <w:sz w:val="18"/>
          <w:szCs w:val="18"/>
        </w:rPr>
        <w:t>combining a legacy of compassionate care focused solely on children since 1926 with the</w:t>
      </w:r>
      <w:r w:rsidR="00EF16B7">
        <w:rPr>
          <w:rFonts w:ascii="Arimo" w:eastAsia="Times New Roman" w:hAnsi="Arimo" w:cs="Arimo"/>
          <w:sz w:val="18"/>
          <w:szCs w:val="18"/>
        </w:rPr>
        <w:t xml:space="preserve"> </w:t>
      </w:r>
      <w:r w:rsidRPr="00EF16B7">
        <w:rPr>
          <w:rFonts w:ascii="Arimo" w:eastAsia="Times New Roman" w:hAnsi="Arimo" w:cs="Arimo"/>
          <w:sz w:val="18"/>
          <w:szCs w:val="18"/>
        </w:rPr>
        <w:t xml:space="preserve">innovation and experience of one of the world’s leading health care systems. </w:t>
      </w:r>
    </w:p>
    <w:sectPr w:rsidR="006A153D" w:rsidRPr="00EF16B7" w:rsidSect="00EF16B7">
      <w:pgSz w:w="12240" w:h="15840"/>
      <w:pgMar w:top="36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4"/>
  </w:compat>
  <w:rsids>
    <w:rsidRoot w:val="006A153D"/>
    <w:rsid w:val="006A153D"/>
    <w:rsid w:val="006C26E3"/>
    <w:rsid w:val="008F0CC5"/>
    <w:rsid w:val="00E40290"/>
    <w:rsid w:val="00EF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31E7"/>
  <w15:docId w15:val="{56C3E358-CAE4-467F-B48B-9D0EFD00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le.caci@jhm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n@fcan.org" TargetMode="External"/><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Newton</dc:creator>
  <cp:lastModifiedBy>Bill Newton</cp:lastModifiedBy>
  <cp:revision>2</cp:revision>
  <dcterms:created xsi:type="dcterms:W3CDTF">2018-11-14T22:39:00Z</dcterms:created>
  <dcterms:modified xsi:type="dcterms:W3CDTF">2018-11-14T22:39:00Z</dcterms:modified>
</cp:coreProperties>
</file>